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88F1" w14:textId="77777777" w:rsidR="001C0FEB" w:rsidRPr="009B5FA1" w:rsidRDefault="001C0FEB" w:rsidP="001C0FEB">
      <w:pPr>
        <w:jc w:val="center"/>
        <w:rPr>
          <w:rFonts w:cstheme="minorHAnsi"/>
          <w:b/>
          <w:bCs/>
        </w:rPr>
      </w:pPr>
      <w:r w:rsidRPr="009B5FA1">
        <w:rPr>
          <w:rFonts w:cstheme="minorHAnsi"/>
          <w:b/>
          <w:bCs/>
        </w:rPr>
        <w:t>BEFORE THE BOARD OF COUNTY COMMISSIONERS</w:t>
      </w:r>
    </w:p>
    <w:p w14:paraId="78467C4F" w14:textId="77777777" w:rsidR="001C0FEB" w:rsidRPr="009B5FA1" w:rsidRDefault="001C0FEB" w:rsidP="001C0FEB">
      <w:pPr>
        <w:jc w:val="center"/>
        <w:rPr>
          <w:rFonts w:cstheme="minorHAnsi"/>
          <w:b/>
          <w:bCs/>
        </w:rPr>
      </w:pPr>
      <w:r w:rsidRPr="009B5FA1">
        <w:rPr>
          <w:rFonts w:cstheme="minorHAnsi"/>
          <w:b/>
          <w:bCs/>
        </w:rPr>
        <w:t>OF LEWIS COUNTY, WASHINGTON</w:t>
      </w:r>
    </w:p>
    <w:p w14:paraId="431BDF28" w14:textId="77777777" w:rsidR="001C0FEB" w:rsidRDefault="001C0FEB" w:rsidP="001C0F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C0FEB" w:rsidRPr="009B5FA1" w14:paraId="3AC40D5B" w14:textId="77777777" w:rsidTr="00ED248B">
        <w:tc>
          <w:tcPr>
            <w:tcW w:w="6030" w:type="dxa"/>
          </w:tcPr>
          <w:p w14:paraId="1F4CD022" w14:textId="588C4A77" w:rsidR="001C0FEB" w:rsidRPr="006A2C62" w:rsidRDefault="000E3145" w:rsidP="00ED248B">
            <w:pPr>
              <w:rPr>
                <w:rFonts w:asciiTheme="minorHAnsi" w:hAnsiTheme="minorHAnsi" w:cstheme="minorHAnsi"/>
                <w:b/>
                <w:bCs/>
                <w:sz w:val="22"/>
                <w:szCs w:val="20"/>
              </w:rPr>
            </w:pPr>
            <w:r>
              <w:rPr>
                <w:rFonts w:asciiTheme="minorHAnsi" w:hAnsiTheme="minorHAnsi" w:cstheme="minorHAnsi"/>
                <w:b/>
                <w:bCs/>
                <w:sz w:val="22"/>
                <w:szCs w:val="20"/>
              </w:rPr>
              <w:t xml:space="preserve">APPROVE </w:t>
            </w:r>
            <w:r w:rsidR="001C0FEB">
              <w:rPr>
                <w:rFonts w:asciiTheme="minorHAnsi" w:hAnsiTheme="minorHAnsi" w:cstheme="minorHAnsi"/>
                <w:b/>
                <w:bCs/>
                <w:sz w:val="22"/>
                <w:szCs w:val="20"/>
              </w:rPr>
              <w:t>MINOR AMENDMENTS TO THE LEWIS COUNTY URBAN GROWTH AREA (UGA) BOUNDARY</w:t>
            </w:r>
          </w:p>
        </w:tc>
        <w:tc>
          <w:tcPr>
            <w:tcW w:w="289" w:type="dxa"/>
          </w:tcPr>
          <w:p w14:paraId="60D97095" w14:textId="77777777" w:rsidR="001C0FEB" w:rsidRDefault="001C0FEB" w:rsidP="00ED248B">
            <w:pPr>
              <w:rPr>
                <w:rFonts w:asciiTheme="minorHAnsi" w:hAnsiTheme="minorHAnsi" w:cstheme="minorHAnsi"/>
                <w:b/>
                <w:bCs/>
                <w:sz w:val="22"/>
                <w:szCs w:val="20"/>
              </w:rPr>
            </w:pPr>
            <w:r>
              <w:rPr>
                <w:rFonts w:asciiTheme="minorHAnsi" w:hAnsiTheme="minorHAnsi" w:cstheme="minorHAnsi"/>
                <w:b/>
                <w:bCs/>
                <w:sz w:val="22"/>
                <w:szCs w:val="20"/>
              </w:rPr>
              <w:t>)</w:t>
            </w:r>
          </w:p>
          <w:p w14:paraId="10C0E1DE" w14:textId="77777777" w:rsidR="001C0FEB" w:rsidRDefault="001C0FEB" w:rsidP="00ED248B">
            <w:pPr>
              <w:rPr>
                <w:rFonts w:asciiTheme="minorHAnsi" w:hAnsiTheme="minorHAnsi" w:cstheme="minorHAnsi"/>
                <w:b/>
                <w:bCs/>
                <w:sz w:val="22"/>
                <w:szCs w:val="20"/>
              </w:rPr>
            </w:pPr>
            <w:r>
              <w:rPr>
                <w:rFonts w:asciiTheme="minorHAnsi" w:hAnsiTheme="minorHAnsi" w:cstheme="minorHAnsi"/>
                <w:b/>
                <w:bCs/>
                <w:sz w:val="22"/>
                <w:szCs w:val="20"/>
              </w:rPr>
              <w:t>)</w:t>
            </w:r>
          </w:p>
          <w:p w14:paraId="52A5BE0A" w14:textId="77777777" w:rsidR="001C0FEB" w:rsidRDefault="001C0FEB" w:rsidP="00ED248B">
            <w:pPr>
              <w:rPr>
                <w:rFonts w:asciiTheme="minorHAnsi" w:hAnsiTheme="minorHAnsi" w:cstheme="minorHAnsi"/>
                <w:b/>
                <w:bCs/>
                <w:sz w:val="22"/>
                <w:szCs w:val="20"/>
              </w:rPr>
            </w:pPr>
            <w:r>
              <w:rPr>
                <w:rFonts w:asciiTheme="minorHAnsi" w:hAnsiTheme="minorHAnsi" w:cstheme="minorHAnsi"/>
                <w:b/>
                <w:bCs/>
                <w:sz w:val="22"/>
                <w:szCs w:val="20"/>
              </w:rPr>
              <w:t>)</w:t>
            </w:r>
          </w:p>
          <w:p w14:paraId="3B786EE8" w14:textId="77777777" w:rsidR="001C0FEB" w:rsidRPr="009B5FA1" w:rsidRDefault="001C0FEB" w:rsidP="00ED248B">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16439BFE" w14:textId="5703DC78" w:rsidR="001C0FEB" w:rsidRPr="009B5FA1" w:rsidRDefault="001C0FEB" w:rsidP="00ED248B">
            <w:pPr>
              <w:jc w:val="center"/>
              <w:rPr>
                <w:rFonts w:asciiTheme="minorHAnsi" w:hAnsiTheme="minorHAnsi" w:cstheme="minorHAnsi"/>
                <w:b/>
                <w:bCs/>
                <w:sz w:val="22"/>
                <w:szCs w:val="20"/>
              </w:rPr>
            </w:pPr>
            <w:r>
              <w:rPr>
                <w:rFonts w:asciiTheme="minorHAnsi" w:hAnsiTheme="minorHAnsi" w:cstheme="minorHAnsi"/>
                <w:b/>
                <w:bCs/>
                <w:sz w:val="22"/>
                <w:szCs w:val="20"/>
              </w:rPr>
              <w:t xml:space="preserve">ORDINANCE </w:t>
            </w:r>
            <w:r w:rsidR="00934977">
              <w:rPr>
                <w:rFonts w:asciiTheme="minorHAnsi" w:hAnsiTheme="minorHAnsi" w:cstheme="minorHAnsi"/>
                <w:b/>
                <w:bCs/>
                <w:sz w:val="22"/>
                <w:szCs w:val="20"/>
              </w:rPr>
              <w:t>1382</w:t>
            </w:r>
          </w:p>
        </w:tc>
      </w:tr>
    </w:tbl>
    <w:p w14:paraId="773CF309" w14:textId="77777777" w:rsidR="001C0FEB" w:rsidRDefault="001C0FEB" w:rsidP="00D72FEF">
      <w:pPr>
        <w:rPr>
          <w:b/>
          <w:bCs/>
        </w:rPr>
      </w:pPr>
    </w:p>
    <w:p w14:paraId="78F2DAEB" w14:textId="46063570" w:rsidR="00D72FEF" w:rsidRPr="00D72FEF" w:rsidRDefault="00D72FEF" w:rsidP="00D72FEF">
      <w:r w:rsidRPr="00D72FEF">
        <w:rPr>
          <w:b/>
          <w:bCs/>
        </w:rPr>
        <w:t>WHEREAS,</w:t>
      </w:r>
      <w:r w:rsidRPr="00D72FEF">
        <w:t> RCW 36.70A.040 requires Lewis County to plan under and in accordance with the Growth Management Act; and</w:t>
      </w:r>
    </w:p>
    <w:p w14:paraId="17C54F5A" w14:textId="77777777" w:rsidR="00D72FEF" w:rsidRPr="00D72FEF" w:rsidRDefault="00D72FEF" w:rsidP="00D72FEF">
      <w:r w:rsidRPr="00D72FEF">
        <w:rPr>
          <w:b/>
          <w:bCs/>
        </w:rPr>
        <w:t>WHEREAS,</w:t>
      </w:r>
      <w:r w:rsidRPr="00D72FEF">
        <w:t> RCW 36.70A.110 provides for the designation of urban growth areas as part of the County's comprehensive plan; and</w:t>
      </w:r>
    </w:p>
    <w:p w14:paraId="0781EB6B" w14:textId="77777777" w:rsidR="00D72FEF" w:rsidRPr="00D72FEF" w:rsidRDefault="00D72FEF" w:rsidP="00D72FEF">
      <w:r w:rsidRPr="00D72FEF">
        <w:rPr>
          <w:b/>
          <w:bCs/>
        </w:rPr>
        <w:t>WHEREAS,</w:t>
      </w:r>
      <w:r w:rsidRPr="00D72FEF">
        <w:t> RCW 36.70A.130 provides for the continuing review and amendment of comprehensive plans, including urban growth area designations, and establishes an annual process for consideration of comprehensive plan amendments; and</w:t>
      </w:r>
    </w:p>
    <w:p w14:paraId="1E31126F" w14:textId="194A5088" w:rsidR="00D72FEF" w:rsidRPr="00D72FEF" w:rsidRDefault="00D72FEF" w:rsidP="00D72FEF">
      <w:r w:rsidRPr="00D72FEF">
        <w:rPr>
          <w:b/>
          <w:bCs/>
        </w:rPr>
        <w:t>WHEREAS,</w:t>
      </w:r>
      <w:r w:rsidRPr="00D72FEF">
        <w:t xml:space="preserve"> a duly noticed public hearing was held by the Lewis County Planning Commission on June 9, 2026, at which the Planning Commission considered testimony and voted to approve a recommendation, Exhibit A, for transmittal to the Board of County Commissioners concerning </w:t>
      </w:r>
      <w:r>
        <w:t xml:space="preserve">de minimus </w:t>
      </w:r>
      <w:r w:rsidRPr="00D72FEF">
        <w:t>technical corrections to the Urban Growth Area boundary; and</w:t>
      </w:r>
    </w:p>
    <w:p w14:paraId="5B9CE664" w14:textId="0F6499BE" w:rsidR="00D72FEF" w:rsidRPr="00D72FEF" w:rsidRDefault="00D72FEF" w:rsidP="00D72FEF">
      <w:r w:rsidRPr="00D72FEF">
        <w:rPr>
          <w:b/>
          <w:bCs/>
        </w:rPr>
        <w:t>WHEREAS,</w:t>
      </w:r>
      <w:r w:rsidRPr="00D72FEF">
        <w:t> on September 22, 2026, the Lewis County Board of County Commissioners (BOCC) passed Resolution No. 26-</w:t>
      </w:r>
      <w:r w:rsidR="002C14C7">
        <w:t>395</w:t>
      </w:r>
      <w:r w:rsidRPr="00D72FEF">
        <w:t xml:space="preserve"> to hold a public hearing on the proposed amendments and directed the Clerk of the Board to provide notice of the hearing; and</w:t>
      </w:r>
    </w:p>
    <w:p w14:paraId="2D3F81C4" w14:textId="77777777" w:rsidR="00D72FEF" w:rsidRPr="00D72FEF" w:rsidRDefault="00D72FEF" w:rsidP="00D72FEF">
      <w:r w:rsidRPr="00D72FEF">
        <w:rPr>
          <w:b/>
          <w:bCs/>
        </w:rPr>
        <w:t>WHEREAS,</w:t>
      </w:r>
      <w:r w:rsidRPr="00D72FEF">
        <w:t> the BOCC held a duly noticed public hearing on October 6, 2026, to consider the proposed de minimis technical amendments to the Lewis County Urban Growth Area boundary; and</w:t>
      </w:r>
    </w:p>
    <w:p w14:paraId="78620435" w14:textId="0F2EC50A" w:rsidR="00D72FEF" w:rsidRPr="00D72FEF" w:rsidRDefault="00D72FEF" w:rsidP="00D72FEF">
      <w:r w:rsidRPr="00D72FEF">
        <w:rPr>
          <w:b/>
          <w:bCs/>
        </w:rPr>
        <w:t>WHEREAS,</w:t>
      </w:r>
      <w:r w:rsidRPr="00D72FEF">
        <w:rPr>
          <w:rFonts w:ascii="Segoe UI" w:hAnsi="Segoe UI" w:cs="Segoe UI"/>
          <w:b/>
          <w:bCs/>
          <w:shd w:val="clear" w:color="auto" w:fill="FFFFFF"/>
        </w:rPr>
        <w:t xml:space="preserve"> </w:t>
      </w:r>
      <w:r w:rsidRPr="00D72FEF">
        <w:t>following consideration of the Planning Commission recommendation, staff recommendation to remove the Dameron Road area from the 2026 annual amendment package, and testimony received at the public hearing, the BOCC considered the proposed amendments as modified</w:t>
      </w:r>
      <w:r>
        <w:t>; and</w:t>
      </w:r>
    </w:p>
    <w:p w14:paraId="63485472" w14:textId="198D13A9" w:rsidR="00D72FEF" w:rsidRPr="00D72FEF" w:rsidRDefault="00D72FEF" w:rsidP="00D72FEF">
      <w:r w:rsidRPr="00D72FEF">
        <w:rPr>
          <w:b/>
          <w:bCs/>
        </w:rPr>
        <w:t>NOW THEREFORE BE IT ORDAINED</w:t>
      </w:r>
      <w:r w:rsidRPr="00D72FEF">
        <w:t xml:space="preserve"> that the BOCC hereby adopts the </w:t>
      </w:r>
      <w:r w:rsidR="00182607">
        <w:t>de minimus</w:t>
      </w:r>
      <w:r w:rsidRPr="00D72FEF">
        <w:t xml:space="preserve"> technical amendments to the Lewis County Urban Growth Area boundary, as shown in Exhibit A and as modified at the BOCC public hearing; and</w:t>
      </w:r>
    </w:p>
    <w:p w14:paraId="68DC8888" w14:textId="77777777" w:rsidR="00D72FEF" w:rsidRPr="00D72FEF" w:rsidRDefault="00D72FEF" w:rsidP="00D72FEF">
      <w:r w:rsidRPr="00D72FEF">
        <w:rPr>
          <w:b/>
          <w:bCs/>
        </w:rPr>
        <w:lastRenderedPageBreak/>
        <w:t>NOW THEREFORE BE IT FURTHER ORDAINED</w:t>
      </w:r>
      <w:r w:rsidRPr="00D72FEF">
        <w:t> that the BOCC directs staff to update the official Lewis County Urban Growth Area maps to reflect the amendments adopted by this ordinance.</w:t>
      </w:r>
    </w:p>
    <w:p w14:paraId="22884CA6" w14:textId="77777777" w:rsidR="00CF0274" w:rsidRPr="003918A1" w:rsidRDefault="00CF0274" w:rsidP="00CF0274">
      <w:pPr>
        <w:spacing w:before="240" w:after="240"/>
        <w:rPr>
          <w:rFonts w:cs="Calibri"/>
        </w:rPr>
      </w:pPr>
      <w:r w:rsidRPr="003918A1">
        <w:rPr>
          <w:rFonts w:cs="Calibri"/>
          <w:caps/>
        </w:rPr>
        <w:t>Passed in regular session THI</w:t>
      </w:r>
      <w:r w:rsidRPr="003918A1">
        <w:rPr>
          <w:rFonts w:cs="Calibri"/>
        </w:rPr>
        <w:t>S ______ DAY OF</w:t>
      </w:r>
      <w:r w:rsidRPr="003918A1">
        <w:rPr>
          <w:rFonts w:cs="Calibri"/>
          <w:caps/>
        </w:rPr>
        <w:t xml:space="preserve"> </w:t>
      </w:r>
      <w:r>
        <w:rPr>
          <w:rFonts w:cs="Calibri"/>
          <w:caps/>
        </w:rPr>
        <w:t>September, 2026</w:t>
      </w:r>
      <w:r w:rsidRPr="003918A1">
        <w:rPr>
          <w:rFonts w:cs="Calibri"/>
        </w:rPr>
        <w:t xml:space="preserve">.   </w:t>
      </w:r>
      <w:r w:rsidRPr="003918A1">
        <w:rPr>
          <w:rFonts w:cs="Calibri"/>
        </w:rPr>
        <w:tab/>
      </w:r>
      <w:r w:rsidRPr="003918A1">
        <w:rPr>
          <w:rFonts w:cs="Calibri"/>
        </w:rPr>
        <w:tab/>
      </w:r>
      <w:r w:rsidRPr="003918A1">
        <w:rPr>
          <w:rFonts w:cs="Calibri"/>
        </w:rPr>
        <w:tab/>
        <w:t xml:space="preserve">   </w:t>
      </w:r>
      <w:r w:rsidRPr="003918A1">
        <w:rPr>
          <w:rFonts w:cs="Calibri"/>
        </w:rPr>
        <w:tab/>
        <w:t xml:space="preserve">  </w:t>
      </w:r>
    </w:p>
    <w:tbl>
      <w:tblPr>
        <w:tblW w:w="0" w:type="auto"/>
        <w:tblLook w:val="04A0" w:firstRow="1" w:lastRow="0" w:firstColumn="1" w:lastColumn="0" w:noHBand="0" w:noVBand="1"/>
      </w:tblPr>
      <w:tblGrid>
        <w:gridCol w:w="4490"/>
        <w:gridCol w:w="355"/>
        <w:gridCol w:w="4515"/>
      </w:tblGrid>
      <w:tr w:rsidR="00CF0274" w:rsidRPr="003918A1" w14:paraId="04F3DDFE" w14:textId="77777777" w:rsidTr="00ED248B">
        <w:tc>
          <w:tcPr>
            <w:tcW w:w="4608" w:type="dxa"/>
          </w:tcPr>
          <w:p w14:paraId="61F12F08" w14:textId="77777777" w:rsidR="00CF0274" w:rsidRPr="003918A1" w:rsidRDefault="00CF0274" w:rsidP="00ED248B">
            <w:pPr>
              <w:spacing w:line="240" w:lineRule="auto"/>
              <w:jc w:val="both"/>
              <w:rPr>
                <w:rFonts w:cs="Calibri"/>
              </w:rPr>
            </w:pPr>
            <w:r w:rsidRPr="003918A1">
              <w:rPr>
                <w:rFonts w:cs="Calibri"/>
              </w:rPr>
              <w:t>APPROVED AS TO FORM:</w:t>
            </w:r>
          </w:p>
          <w:p w14:paraId="7CA61E9E" w14:textId="77777777" w:rsidR="00CF0274" w:rsidRPr="003918A1" w:rsidRDefault="00CF0274" w:rsidP="00ED248B">
            <w:pPr>
              <w:spacing w:line="240" w:lineRule="auto"/>
              <w:jc w:val="both"/>
              <w:rPr>
                <w:rFonts w:cs="Calibri"/>
              </w:rPr>
            </w:pPr>
            <w:r w:rsidRPr="003918A1">
              <w:rPr>
                <w:rFonts w:cs="Calibri"/>
              </w:rPr>
              <w:t xml:space="preserve">Jonathan Meyer, Prosecuting Attorney   </w:t>
            </w:r>
          </w:p>
        </w:tc>
        <w:tc>
          <w:tcPr>
            <w:tcW w:w="360" w:type="dxa"/>
          </w:tcPr>
          <w:p w14:paraId="0BF19601" w14:textId="77777777" w:rsidR="00CF0274" w:rsidRPr="003918A1" w:rsidRDefault="00CF0274" w:rsidP="00ED248B">
            <w:pPr>
              <w:spacing w:line="240" w:lineRule="auto"/>
              <w:jc w:val="both"/>
              <w:rPr>
                <w:rFonts w:cs="Calibri"/>
              </w:rPr>
            </w:pPr>
          </w:p>
        </w:tc>
        <w:tc>
          <w:tcPr>
            <w:tcW w:w="4608" w:type="dxa"/>
          </w:tcPr>
          <w:p w14:paraId="4E14488E" w14:textId="77777777" w:rsidR="00CF0274" w:rsidRPr="003918A1" w:rsidRDefault="00CF0274" w:rsidP="00ED248B">
            <w:pPr>
              <w:spacing w:line="240" w:lineRule="auto"/>
              <w:jc w:val="both"/>
              <w:rPr>
                <w:rFonts w:cs="Calibri"/>
              </w:rPr>
            </w:pPr>
            <w:r w:rsidRPr="003918A1">
              <w:rPr>
                <w:rFonts w:cs="Calibri"/>
              </w:rPr>
              <w:t>BOARD OF COUNTY COMMISSIONERS</w:t>
            </w:r>
          </w:p>
          <w:p w14:paraId="7B303F28" w14:textId="77777777" w:rsidR="00CF0274" w:rsidRPr="003918A1" w:rsidRDefault="00CF0274" w:rsidP="00ED248B">
            <w:pPr>
              <w:spacing w:line="240" w:lineRule="auto"/>
              <w:jc w:val="both"/>
              <w:rPr>
                <w:rFonts w:cs="Calibri"/>
              </w:rPr>
            </w:pPr>
            <w:r w:rsidRPr="003918A1">
              <w:rPr>
                <w:rFonts w:cs="Calibri"/>
              </w:rPr>
              <w:t>LEWIS COUNTY, WASHINGTON</w:t>
            </w:r>
          </w:p>
        </w:tc>
      </w:tr>
      <w:tr w:rsidR="00CF0274" w:rsidRPr="003918A1" w14:paraId="1959C61A" w14:textId="77777777" w:rsidTr="00ED248B">
        <w:trPr>
          <w:trHeight w:val="593"/>
        </w:trPr>
        <w:tc>
          <w:tcPr>
            <w:tcW w:w="4608" w:type="dxa"/>
            <w:tcBorders>
              <w:bottom w:val="single" w:sz="4" w:space="0" w:color="auto"/>
            </w:tcBorders>
          </w:tcPr>
          <w:p w14:paraId="1A980183" w14:textId="77777777" w:rsidR="00CF0274" w:rsidRPr="003918A1" w:rsidRDefault="00CF0274" w:rsidP="00ED248B">
            <w:pPr>
              <w:spacing w:line="240" w:lineRule="auto"/>
              <w:jc w:val="both"/>
              <w:rPr>
                <w:rFonts w:cs="Calibri"/>
              </w:rPr>
            </w:pPr>
          </w:p>
          <w:p w14:paraId="547EC6D2" w14:textId="77777777" w:rsidR="00CF0274" w:rsidRPr="003918A1" w:rsidRDefault="00CF0274" w:rsidP="00ED248B">
            <w:pPr>
              <w:spacing w:line="240" w:lineRule="auto"/>
              <w:jc w:val="both"/>
              <w:rPr>
                <w:rFonts w:cs="Calibri"/>
              </w:rPr>
            </w:pPr>
          </w:p>
        </w:tc>
        <w:tc>
          <w:tcPr>
            <w:tcW w:w="360" w:type="dxa"/>
          </w:tcPr>
          <w:p w14:paraId="1E9E4407" w14:textId="77777777" w:rsidR="00CF0274" w:rsidRPr="003918A1" w:rsidRDefault="00CF0274" w:rsidP="00ED248B">
            <w:pPr>
              <w:spacing w:line="240" w:lineRule="auto"/>
              <w:jc w:val="both"/>
              <w:rPr>
                <w:rFonts w:cs="Calibri"/>
              </w:rPr>
            </w:pPr>
          </w:p>
        </w:tc>
        <w:tc>
          <w:tcPr>
            <w:tcW w:w="4608" w:type="dxa"/>
            <w:tcBorders>
              <w:bottom w:val="single" w:sz="4" w:space="0" w:color="auto"/>
            </w:tcBorders>
          </w:tcPr>
          <w:p w14:paraId="38A47CF0" w14:textId="77777777" w:rsidR="00CF0274" w:rsidRPr="003918A1" w:rsidRDefault="00CF0274" w:rsidP="00ED248B">
            <w:pPr>
              <w:spacing w:line="240" w:lineRule="auto"/>
              <w:jc w:val="both"/>
              <w:rPr>
                <w:rFonts w:cs="Calibri"/>
              </w:rPr>
            </w:pPr>
          </w:p>
        </w:tc>
      </w:tr>
      <w:tr w:rsidR="00CF0274" w:rsidRPr="003918A1" w14:paraId="1347C583" w14:textId="77777777" w:rsidTr="00ED248B">
        <w:trPr>
          <w:trHeight w:val="720"/>
        </w:trPr>
        <w:tc>
          <w:tcPr>
            <w:tcW w:w="4608" w:type="dxa"/>
            <w:tcBorders>
              <w:top w:val="single" w:sz="4" w:space="0" w:color="auto"/>
            </w:tcBorders>
          </w:tcPr>
          <w:p w14:paraId="24118ECA" w14:textId="77777777" w:rsidR="00CF0274" w:rsidRPr="003918A1" w:rsidRDefault="00CF0274" w:rsidP="00ED248B">
            <w:pPr>
              <w:spacing w:line="240" w:lineRule="auto"/>
              <w:rPr>
                <w:rFonts w:cs="Calibri"/>
              </w:rPr>
            </w:pPr>
            <w:r w:rsidRPr="003918A1">
              <w:rPr>
                <w:rFonts w:cs="Calibri"/>
              </w:rPr>
              <w:t>By: Civil Deputy Prosecuting Attorney</w:t>
            </w:r>
          </w:p>
          <w:p w14:paraId="509FAFD4" w14:textId="77777777" w:rsidR="00CF0274" w:rsidRPr="003918A1" w:rsidRDefault="00CF0274" w:rsidP="00ED248B">
            <w:pPr>
              <w:spacing w:line="240" w:lineRule="auto"/>
              <w:jc w:val="both"/>
              <w:rPr>
                <w:rFonts w:cs="Calibri"/>
              </w:rPr>
            </w:pPr>
          </w:p>
        </w:tc>
        <w:tc>
          <w:tcPr>
            <w:tcW w:w="360" w:type="dxa"/>
          </w:tcPr>
          <w:p w14:paraId="192926B1" w14:textId="77777777" w:rsidR="00CF0274" w:rsidRPr="003918A1" w:rsidRDefault="00CF0274" w:rsidP="00ED248B">
            <w:pPr>
              <w:spacing w:line="240" w:lineRule="auto"/>
              <w:jc w:val="both"/>
              <w:rPr>
                <w:rFonts w:cs="Calibri"/>
              </w:rPr>
            </w:pPr>
          </w:p>
        </w:tc>
        <w:tc>
          <w:tcPr>
            <w:tcW w:w="4608" w:type="dxa"/>
            <w:tcBorders>
              <w:top w:val="single" w:sz="4" w:space="0" w:color="auto"/>
            </w:tcBorders>
          </w:tcPr>
          <w:p w14:paraId="5ABE2380" w14:textId="77777777" w:rsidR="00CF0274" w:rsidRPr="003918A1" w:rsidRDefault="00CF0274" w:rsidP="00ED248B">
            <w:pPr>
              <w:spacing w:line="240" w:lineRule="auto"/>
              <w:jc w:val="both"/>
              <w:rPr>
                <w:rFonts w:cs="Calibri"/>
              </w:rPr>
            </w:pPr>
            <w:r w:rsidRPr="0004063D">
              <w:rPr>
                <w:rFonts w:cs="Calibri"/>
              </w:rPr>
              <w:t>Lyndsey R. Pollock, DVM,</w:t>
            </w:r>
            <w:r w:rsidRPr="003918A1">
              <w:rPr>
                <w:rFonts w:cs="Calibri"/>
              </w:rPr>
              <w:t xml:space="preserve"> Chair</w:t>
            </w:r>
          </w:p>
          <w:p w14:paraId="4B64BF1D" w14:textId="77777777" w:rsidR="00CF0274" w:rsidRPr="003918A1" w:rsidRDefault="00CF0274" w:rsidP="00ED248B">
            <w:pPr>
              <w:spacing w:line="240" w:lineRule="auto"/>
              <w:jc w:val="both"/>
              <w:rPr>
                <w:rFonts w:cs="Calibri"/>
              </w:rPr>
            </w:pPr>
          </w:p>
          <w:p w14:paraId="73049EAA" w14:textId="77777777" w:rsidR="00CF0274" w:rsidRPr="003918A1" w:rsidRDefault="00CF0274" w:rsidP="00ED248B">
            <w:pPr>
              <w:spacing w:line="240" w:lineRule="auto"/>
              <w:jc w:val="both"/>
              <w:rPr>
                <w:rFonts w:cs="Calibri"/>
              </w:rPr>
            </w:pPr>
          </w:p>
        </w:tc>
      </w:tr>
      <w:tr w:rsidR="00CF0274" w:rsidRPr="003918A1" w14:paraId="35ADC7AF" w14:textId="77777777" w:rsidTr="00ED248B">
        <w:trPr>
          <w:trHeight w:val="242"/>
        </w:trPr>
        <w:tc>
          <w:tcPr>
            <w:tcW w:w="4608" w:type="dxa"/>
          </w:tcPr>
          <w:p w14:paraId="4370FFD7" w14:textId="77777777" w:rsidR="00CF0274" w:rsidRPr="003918A1" w:rsidRDefault="00CF0274" w:rsidP="00ED248B">
            <w:pPr>
              <w:spacing w:line="240" w:lineRule="auto"/>
              <w:jc w:val="both"/>
              <w:rPr>
                <w:rFonts w:cs="Calibri"/>
              </w:rPr>
            </w:pPr>
            <w:r w:rsidRPr="003918A1">
              <w:rPr>
                <w:rFonts w:cs="Calibri"/>
              </w:rPr>
              <w:t xml:space="preserve">ATTEST: </w:t>
            </w:r>
          </w:p>
        </w:tc>
        <w:tc>
          <w:tcPr>
            <w:tcW w:w="360" w:type="dxa"/>
          </w:tcPr>
          <w:p w14:paraId="6113BF5C" w14:textId="77777777" w:rsidR="00CF0274" w:rsidRPr="003918A1" w:rsidRDefault="00CF0274" w:rsidP="00ED248B">
            <w:pPr>
              <w:spacing w:line="240" w:lineRule="auto"/>
              <w:jc w:val="both"/>
              <w:rPr>
                <w:rFonts w:cs="Calibri"/>
              </w:rPr>
            </w:pPr>
          </w:p>
        </w:tc>
        <w:tc>
          <w:tcPr>
            <w:tcW w:w="4608" w:type="dxa"/>
            <w:tcBorders>
              <w:top w:val="single" w:sz="4" w:space="0" w:color="auto"/>
            </w:tcBorders>
          </w:tcPr>
          <w:p w14:paraId="4DA1079C" w14:textId="227DFBA0" w:rsidR="00CF0274" w:rsidRPr="0004063D" w:rsidRDefault="00CF0274" w:rsidP="00ED248B">
            <w:pPr>
              <w:spacing w:line="240" w:lineRule="auto"/>
              <w:jc w:val="both"/>
              <w:rPr>
                <w:rFonts w:cs="Calibri"/>
              </w:rPr>
            </w:pPr>
            <w:r>
              <w:rPr>
                <w:rFonts w:cs="Calibri"/>
              </w:rPr>
              <w:t>Scott</w:t>
            </w:r>
            <w:r w:rsidR="000E3145">
              <w:rPr>
                <w:rFonts w:cs="Calibri"/>
              </w:rPr>
              <w:t xml:space="preserve"> J.</w:t>
            </w:r>
            <w:r>
              <w:rPr>
                <w:rFonts w:cs="Calibri"/>
              </w:rPr>
              <w:t xml:space="preserve"> Brummer</w:t>
            </w:r>
            <w:r w:rsidRPr="0004063D">
              <w:rPr>
                <w:rFonts w:cs="Calibri"/>
              </w:rPr>
              <w:t>, Vice Chair</w:t>
            </w:r>
          </w:p>
        </w:tc>
      </w:tr>
      <w:tr w:rsidR="00CF0274" w:rsidRPr="003918A1" w14:paraId="61E79791" w14:textId="77777777" w:rsidTr="00ED248B">
        <w:tc>
          <w:tcPr>
            <w:tcW w:w="4608" w:type="dxa"/>
            <w:tcBorders>
              <w:bottom w:val="single" w:sz="4" w:space="0" w:color="auto"/>
            </w:tcBorders>
          </w:tcPr>
          <w:p w14:paraId="66D26082" w14:textId="77777777" w:rsidR="00CF0274" w:rsidRPr="003918A1" w:rsidRDefault="00CF0274" w:rsidP="00ED248B">
            <w:pPr>
              <w:spacing w:line="240" w:lineRule="auto"/>
              <w:jc w:val="both"/>
              <w:rPr>
                <w:rFonts w:cs="Calibri"/>
              </w:rPr>
            </w:pPr>
          </w:p>
          <w:p w14:paraId="2FCD568F" w14:textId="77777777" w:rsidR="00CF0274" w:rsidRPr="003918A1" w:rsidRDefault="00CF0274" w:rsidP="00ED248B">
            <w:pPr>
              <w:spacing w:line="240" w:lineRule="auto"/>
              <w:jc w:val="both"/>
              <w:rPr>
                <w:rFonts w:cs="Calibri"/>
              </w:rPr>
            </w:pPr>
          </w:p>
        </w:tc>
        <w:tc>
          <w:tcPr>
            <w:tcW w:w="360" w:type="dxa"/>
          </w:tcPr>
          <w:p w14:paraId="737E8509" w14:textId="77777777" w:rsidR="00CF0274" w:rsidRPr="003918A1" w:rsidRDefault="00CF0274" w:rsidP="00ED248B">
            <w:pPr>
              <w:spacing w:line="240" w:lineRule="auto"/>
              <w:jc w:val="both"/>
              <w:rPr>
                <w:rFonts w:cs="Calibri"/>
              </w:rPr>
            </w:pPr>
          </w:p>
        </w:tc>
        <w:tc>
          <w:tcPr>
            <w:tcW w:w="4608" w:type="dxa"/>
            <w:tcBorders>
              <w:bottom w:val="single" w:sz="4" w:space="0" w:color="auto"/>
            </w:tcBorders>
          </w:tcPr>
          <w:p w14:paraId="57C2A959" w14:textId="77777777" w:rsidR="00CF0274" w:rsidRPr="00377269" w:rsidRDefault="00CF0274" w:rsidP="00ED248B">
            <w:pPr>
              <w:spacing w:line="240" w:lineRule="auto"/>
              <w:jc w:val="both"/>
              <w:rPr>
                <w:rFonts w:cs="Calibri"/>
                <w:highlight w:val="yellow"/>
              </w:rPr>
            </w:pPr>
          </w:p>
        </w:tc>
      </w:tr>
      <w:tr w:rsidR="00CF0274" w:rsidRPr="003918A1" w14:paraId="6B04B76D" w14:textId="77777777" w:rsidTr="00ED248B">
        <w:trPr>
          <w:trHeight w:val="197"/>
        </w:trPr>
        <w:tc>
          <w:tcPr>
            <w:tcW w:w="4608" w:type="dxa"/>
            <w:tcBorders>
              <w:top w:val="single" w:sz="4" w:space="0" w:color="auto"/>
            </w:tcBorders>
          </w:tcPr>
          <w:p w14:paraId="0CAE8685" w14:textId="77777777" w:rsidR="00CF0274" w:rsidRPr="003918A1" w:rsidRDefault="00CF0274" w:rsidP="00ED248B">
            <w:pPr>
              <w:spacing w:line="240" w:lineRule="auto"/>
              <w:jc w:val="both"/>
              <w:rPr>
                <w:rFonts w:cs="Calibri"/>
              </w:rPr>
            </w:pPr>
            <w:r w:rsidRPr="003918A1">
              <w:rPr>
                <w:rFonts w:cs="Calibri"/>
              </w:rPr>
              <w:t>Rieva Lester, Clerk of the Board</w:t>
            </w:r>
          </w:p>
        </w:tc>
        <w:tc>
          <w:tcPr>
            <w:tcW w:w="360" w:type="dxa"/>
          </w:tcPr>
          <w:p w14:paraId="1E6B64ED" w14:textId="77777777" w:rsidR="00CF0274" w:rsidRPr="0004063D" w:rsidRDefault="00CF0274" w:rsidP="00ED248B">
            <w:pPr>
              <w:spacing w:line="240" w:lineRule="auto"/>
              <w:ind w:hanging="90"/>
              <w:jc w:val="both"/>
              <w:rPr>
                <w:rFonts w:cs="Calibri"/>
              </w:rPr>
            </w:pPr>
          </w:p>
        </w:tc>
        <w:tc>
          <w:tcPr>
            <w:tcW w:w="4608" w:type="dxa"/>
            <w:tcBorders>
              <w:top w:val="single" w:sz="4" w:space="0" w:color="auto"/>
            </w:tcBorders>
          </w:tcPr>
          <w:p w14:paraId="190B8BF3" w14:textId="3678C2CE" w:rsidR="00CF0274" w:rsidRPr="0004063D" w:rsidRDefault="00CF0274" w:rsidP="00ED248B">
            <w:pPr>
              <w:spacing w:line="240" w:lineRule="auto"/>
              <w:ind w:hanging="90"/>
              <w:jc w:val="both"/>
              <w:rPr>
                <w:rFonts w:cs="Calibri"/>
              </w:rPr>
            </w:pPr>
            <w:r w:rsidRPr="0004063D">
              <w:rPr>
                <w:rFonts w:cs="Calibri"/>
              </w:rPr>
              <w:t xml:space="preserve"> </w:t>
            </w:r>
            <w:r>
              <w:rPr>
                <w:rFonts w:cs="Calibri"/>
              </w:rPr>
              <w:t>Sean</w:t>
            </w:r>
            <w:r w:rsidR="000E3145">
              <w:rPr>
                <w:rFonts w:cs="Calibri"/>
              </w:rPr>
              <w:t xml:space="preserve"> D.</w:t>
            </w:r>
            <w:r>
              <w:rPr>
                <w:rFonts w:cs="Calibri"/>
              </w:rPr>
              <w:t xml:space="preserve"> Swope, </w:t>
            </w:r>
            <w:r w:rsidRPr="0004063D">
              <w:rPr>
                <w:rFonts w:cs="Calibri"/>
              </w:rPr>
              <w:t>Commissioner</w:t>
            </w:r>
          </w:p>
        </w:tc>
      </w:tr>
    </w:tbl>
    <w:p w14:paraId="2EFDBBBF" w14:textId="77777777" w:rsidR="00CF0274" w:rsidRPr="009B5FA1" w:rsidRDefault="00CF0274" w:rsidP="00CF0274">
      <w:pPr>
        <w:spacing w:before="240"/>
        <w:rPr>
          <w:rFonts w:cstheme="minorHAnsi"/>
          <w:szCs w:val="20"/>
        </w:rPr>
      </w:pPr>
    </w:p>
    <w:p w14:paraId="0FF96C6C" w14:textId="77777777" w:rsidR="00825CF8" w:rsidRDefault="00825CF8"/>
    <w:sectPr w:rsidR="00825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FEF"/>
    <w:rsid w:val="000E3145"/>
    <w:rsid w:val="00182607"/>
    <w:rsid w:val="001C0FEB"/>
    <w:rsid w:val="002C14C7"/>
    <w:rsid w:val="006C2CAF"/>
    <w:rsid w:val="00825CF8"/>
    <w:rsid w:val="00893609"/>
    <w:rsid w:val="00934977"/>
    <w:rsid w:val="00CF0274"/>
    <w:rsid w:val="00D72FEF"/>
    <w:rsid w:val="00E40EE2"/>
    <w:rsid w:val="00EC7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3AF9"/>
  <w15:chartTrackingRefBased/>
  <w15:docId w15:val="{A353A0A5-C78E-4201-A675-2EA9FDD4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2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2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2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FEF"/>
    <w:rPr>
      <w:rFonts w:eastAsiaTheme="majorEastAsia" w:cstheme="majorBidi"/>
      <w:color w:val="272727" w:themeColor="text1" w:themeTint="D8"/>
    </w:rPr>
  </w:style>
  <w:style w:type="paragraph" w:styleId="Title">
    <w:name w:val="Title"/>
    <w:basedOn w:val="Normal"/>
    <w:next w:val="Normal"/>
    <w:link w:val="TitleChar"/>
    <w:uiPriority w:val="10"/>
    <w:qFormat/>
    <w:rsid w:val="00D72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FEF"/>
    <w:pPr>
      <w:spacing w:before="160"/>
      <w:jc w:val="center"/>
    </w:pPr>
    <w:rPr>
      <w:i/>
      <w:iCs/>
      <w:color w:val="404040" w:themeColor="text1" w:themeTint="BF"/>
    </w:rPr>
  </w:style>
  <w:style w:type="character" w:customStyle="1" w:styleId="QuoteChar">
    <w:name w:val="Quote Char"/>
    <w:basedOn w:val="DefaultParagraphFont"/>
    <w:link w:val="Quote"/>
    <w:uiPriority w:val="29"/>
    <w:rsid w:val="00D72FEF"/>
    <w:rPr>
      <w:i/>
      <w:iCs/>
      <w:color w:val="404040" w:themeColor="text1" w:themeTint="BF"/>
    </w:rPr>
  </w:style>
  <w:style w:type="paragraph" w:styleId="ListParagraph">
    <w:name w:val="List Paragraph"/>
    <w:basedOn w:val="Normal"/>
    <w:uiPriority w:val="34"/>
    <w:qFormat/>
    <w:rsid w:val="00D72FEF"/>
    <w:pPr>
      <w:ind w:left="720"/>
      <w:contextualSpacing/>
    </w:pPr>
  </w:style>
  <w:style w:type="character" w:styleId="IntenseEmphasis">
    <w:name w:val="Intense Emphasis"/>
    <w:basedOn w:val="DefaultParagraphFont"/>
    <w:uiPriority w:val="21"/>
    <w:qFormat/>
    <w:rsid w:val="00D72FEF"/>
    <w:rPr>
      <w:i/>
      <w:iCs/>
      <w:color w:val="0F4761" w:themeColor="accent1" w:themeShade="BF"/>
    </w:rPr>
  </w:style>
  <w:style w:type="paragraph" w:styleId="IntenseQuote">
    <w:name w:val="Intense Quote"/>
    <w:basedOn w:val="Normal"/>
    <w:next w:val="Normal"/>
    <w:link w:val="IntenseQuoteChar"/>
    <w:uiPriority w:val="30"/>
    <w:qFormat/>
    <w:rsid w:val="00D72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FEF"/>
    <w:rPr>
      <w:i/>
      <w:iCs/>
      <w:color w:val="0F4761" w:themeColor="accent1" w:themeShade="BF"/>
    </w:rPr>
  </w:style>
  <w:style w:type="character" w:styleId="IntenseReference">
    <w:name w:val="Intense Reference"/>
    <w:basedOn w:val="DefaultParagraphFont"/>
    <w:uiPriority w:val="32"/>
    <w:qFormat/>
    <w:rsid w:val="00D72FEF"/>
    <w:rPr>
      <w:b/>
      <w:bCs/>
      <w:smallCaps/>
      <w:color w:val="0F4761" w:themeColor="accent1" w:themeShade="BF"/>
      <w:spacing w:val="5"/>
    </w:rPr>
  </w:style>
  <w:style w:type="table" w:styleId="TableGrid">
    <w:name w:val="Table Grid"/>
    <w:basedOn w:val="TableNormal"/>
    <w:uiPriority w:val="39"/>
    <w:rsid w:val="001C0FEB"/>
    <w:pPr>
      <w:spacing w:after="0" w:line="240" w:lineRule="auto"/>
    </w:pPr>
    <w:rPr>
      <w:rFonts w:ascii="Century Gothic" w:hAnsi="Century Gothic"/>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379</Words>
  <Characters>2074</Characters>
  <Application>Microsoft Office Word</Application>
  <DocSecurity>0</DocSecurity>
  <Lines>69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Kamieniecki</dc:creator>
  <cp:keywords/>
  <dc:description/>
  <cp:lastModifiedBy>Natalie Kamieniecki</cp:lastModifiedBy>
  <cp:revision>6</cp:revision>
  <dcterms:created xsi:type="dcterms:W3CDTF">2026-09-10T18:05:00Z</dcterms:created>
  <dcterms:modified xsi:type="dcterms:W3CDTF">2026-10-01T19:29:00Z</dcterms:modified>
</cp:coreProperties>
</file>