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03710" w14:textId="77777777" w:rsidR="003B22D3" w:rsidRPr="009110F5" w:rsidRDefault="003B22D3" w:rsidP="003B22D3">
      <w:pPr>
        <w:spacing w:before="240"/>
        <w:contextualSpacing/>
        <w:rPr>
          <w:rFonts w:ascii="Comic Sans MS" w:hAnsi="Comic Sans MS" w:cs="Segoe UI"/>
          <w:b/>
          <w:bCs/>
          <w:color w:val="212529"/>
          <w:sz w:val="22"/>
          <w:szCs w:val="22"/>
          <w:shd w:val="clear" w:color="auto" w:fill="FFFFFF"/>
        </w:rPr>
      </w:pPr>
      <w:r w:rsidRPr="009110F5">
        <w:rPr>
          <w:rFonts w:ascii="Comic Sans MS" w:hAnsi="Comic Sans MS" w:cs="Segoe UI"/>
          <w:b/>
          <w:bCs/>
          <w:color w:val="212529"/>
          <w:sz w:val="22"/>
          <w:szCs w:val="22"/>
          <w:shd w:val="clear" w:color="auto" w:fill="FFFFFF"/>
        </w:rPr>
        <w:t xml:space="preserve">17.10.230 “W” definitions. </w:t>
      </w:r>
    </w:p>
    <w:p w14:paraId="22BD2F90"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“Warehouse or warehousing” means facilities for storage of goods, machinery, and/or equipment in an enclosure.</w:t>
      </w:r>
    </w:p>
    <w:p w14:paraId="4ED67D7B"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“Watershed” means an area draining to the surface water systems of the Chehalis, Cowlitz, Deschutes, or Nisqually Rivers.</w:t>
      </w:r>
    </w:p>
    <w:p w14:paraId="1598AD2E"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“Wellhead protection area” means the area (surface and subsurface) managed to protect ground-water-based public water supplies</w:t>
      </w:r>
      <w:r w:rsidRPr="009110F5">
        <w:rPr>
          <w:rFonts w:ascii="Segoe UI" w:hAnsi="Segoe UI" w:cs="Segoe UI"/>
          <w:strike/>
          <w:color w:val="212529"/>
          <w:sz w:val="22"/>
          <w:szCs w:val="22"/>
          <w:shd w:val="clear" w:color="auto" w:fill="FFFFFF"/>
        </w:rPr>
        <w:t>.</w:t>
      </w:r>
      <w:r>
        <w:rPr>
          <w:rFonts w:ascii="Segoe UI" w:hAnsi="Segoe UI" w:cs="Segoe UI"/>
          <w:color w:val="212529"/>
          <w:sz w:val="22"/>
          <w:szCs w:val="22"/>
          <w:u w:val="single"/>
          <w:shd w:val="clear" w:color="auto" w:fill="FFFFFF"/>
        </w:rPr>
        <w:t>,</w:t>
      </w:r>
      <w:r>
        <w:rPr>
          <w:rFonts w:ascii="Segoe UI" w:hAnsi="Segoe UI" w:cs="Segoe UI"/>
          <w:color w:val="212529"/>
          <w:sz w:val="22"/>
          <w:szCs w:val="22"/>
          <w:shd w:val="clear" w:color="auto" w:fill="FFFFFF"/>
        </w:rPr>
        <w:t xml:space="preserve"> </w:t>
      </w:r>
      <w:r w:rsidRPr="009110F5">
        <w:rPr>
          <w:rFonts w:ascii="Segoe UI" w:hAnsi="Segoe UI" w:cs="Segoe UI"/>
          <w:color w:val="212529"/>
          <w:sz w:val="22"/>
          <w:szCs w:val="22"/>
          <w:u w:val="single"/>
          <w:shd w:val="clear" w:color="auto" w:fill="FFFFFF"/>
        </w:rPr>
        <w:t>protective areas associated with public drinking water sources established by water systems and approved or assigned by the state Department of Health</w:t>
      </w:r>
    </w:p>
    <w:p w14:paraId="1D387ADB"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“Wetland mitigation bank” means a site where wetlands are restored, created, enhanced, or in exceptional circumstances, preserved, expressly for the purpose of providing compensatory mitigation in advance of unavoidable impacts to wetlands or other aquatic resources that typically are unknown at the time of certification to compensate for future, permitted impacts to similar resources.</w:t>
      </w:r>
    </w:p>
    <w:p w14:paraId="1ACDDF6E"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“Wetland mosaic” means an area with a concentration of multiple small wetlands, in which each patch of wetland is less than one acre; on average, patches are less than 100 feet from each other; and areas delineated as vegetated wetland are more than 50 percent of the total area of the entire mosaic, including uplands and open water.</w:t>
      </w:r>
    </w:p>
    <w:p w14:paraId="67013774"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 xml:space="preserve">“Wetlands” are those areas that are inundated or saturated by surface or ground water at a frequency and duration sufficient to support, and that under normal circumstances do support, a prevalence of vegetation adapted for life in saturated soil conditions. Wetlands generally include swamps, marshes, bogs, and similar areas. Wetlands do not include those artificial wetlands intentionally created from </w:t>
      </w:r>
      <w:proofErr w:type="spellStart"/>
      <w:r w:rsidRPr="009110F5">
        <w:rPr>
          <w:rFonts w:ascii="Segoe UI" w:hAnsi="Segoe UI" w:cs="Segoe UI"/>
          <w:color w:val="212529"/>
          <w:sz w:val="22"/>
          <w:szCs w:val="22"/>
          <w:shd w:val="clear" w:color="auto" w:fill="FFFFFF"/>
        </w:rPr>
        <w:t>nonwetland</w:t>
      </w:r>
      <w:proofErr w:type="spellEnd"/>
      <w:r w:rsidRPr="009110F5">
        <w:rPr>
          <w:rFonts w:ascii="Segoe UI" w:hAnsi="Segoe UI" w:cs="Segoe UI"/>
          <w:color w:val="212529"/>
          <w:sz w:val="22"/>
          <w:szCs w:val="22"/>
          <w:shd w:val="clear" w:color="auto" w:fill="FFFFFF"/>
        </w:rPr>
        <w:t xml:space="preserve"> sites, including, but not limited to, irrigation and drainage ditches, grass-lined swales, canals, detention facilities, wastewater treatment facilities, farm ponds, and landscape amenities, or those wetlands created after July 1, 1990, that were unintentionally created as a result of the construction of a road, street, or highway. Wetlands may include those artificial wetlands intentionally created from </w:t>
      </w:r>
      <w:proofErr w:type="spellStart"/>
      <w:r w:rsidRPr="009110F5">
        <w:rPr>
          <w:rFonts w:ascii="Segoe UI" w:hAnsi="Segoe UI" w:cs="Segoe UI"/>
          <w:color w:val="212529"/>
          <w:sz w:val="22"/>
          <w:szCs w:val="22"/>
          <w:shd w:val="clear" w:color="auto" w:fill="FFFFFF"/>
        </w:rPr>
        <w:t>nonwetland</w:t>
      </w:r>
      <w:proofErr w:type="spellEnd"/>
      <w:r w:rsidRPr="009110F5">
        <w:rPr>
          <w:rFonts w:ascii="Segoe UI" w:hAnsi="Segoe UI" w:cs="Segoe UI"/>
          <w:color w:val="212529"/>
          <w:sz w:val="22"/>
          <w:szCs w:val="22"/>
          <w:shd w:val="clear" w:color="auto" w:fill="FFFFFF"/>
        </w:rPr>
        <w:t xml:space="preserve"> areas to mitigate the conversion of wetlands.</w:t>
      </w:r>
    </w:p>
    <w:p w14:paraId="34B95BB2"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“Wholesale use” means an establishment or place of business primarily engaged in selling merchandise to retailers; to industrial, commercial, institutional, or professional business users, or to other wholesalers; or acting as agents or brokers and buying merchandise for, or selling merchandise to, such individuals or companies.</w:t>
      </w:r>
    </w:p>
    <w:p w14:paraId="45FF8D7C"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 xml:space="preserve">“Wireless communication </w:t>
      </w:r>
      <w:proofErr w:type="gramStart"/>
      <w:r w:rsidRPr="009110F5">
        <w:rPr>
          <w:rFonts w:ascii="Segoe UI" w:hAnsi="Segoe UI" w:cs="Segoe UI"/>
          <w:color w:val="212529"/>
          <w:sz w:val="22"/>
          <w:szCs w:val="22"/>
          <w:shd w:val="clear" w:color="auto" w:fill="FFFFFF"/>
        </w:rPr>
        <w:t>facility”*</w:t>
      </w:r>
      <w:proofErr w:type="gramEnd"/>
      <w:r w:rsidRPr="009110F5">
        <w:rPr>
          <w:rFonts w:ascii="Segoe UI" w:hAnsi="Segoe UI" w:cs="Segoe UI"/>
          <w:color w:val="212529"/>
          <w:sz w:val="22"/>
          <w:szCs w:val="22"/>
          <w:shd w:val="clear" w:color="auto" w:fill="FFFFFF"/>
        </w:rPr>
        <w:t xml:space="preserve"> means an unstaffed facility for the transmission and reception of radio or microwave signals used for commercial or governmental communications. Wireless </w:t>
      </w:r>
      <w:r w:rsidRPr="009110F5">
        <w:rPr>
          <w:rFonts w:ascii="Segoe UI" w:hAnsi="Segoe UI" w:cs="Segoe UI"/>
          <w:color w:val="212529"/>
          <w:sz w:val="22"/>
          <w:szCs w:val="22"/>
          <w:shd w:val="clear" w:color="auto" w:fill="FFFFFF"/>
        </w:rPr>
        <w:lastRenderedPageBreak/>
        <w:t>communication facilities are composed of two or more of the following components: antenna, support structure, equipment enclosure, or security barrier. [Ord. 1284 §1, 2018; Ord. 1170B, 2000]</w:t>
      </w:r>
    </w:p>
    <w:p w14:paraId="77E3B55F" w14:textId="77777777" w:rsidR="003B22D3" w:rsidRPr="009110F5" w:rsidRDefault="003B22D3" w:rsidP="003B22D3">
      <w:pPr>
        <w:spacing w:before="240" w:line="259" w:lineRule="auto"/>
        <w:rPr>
          <w:rFonts w:ascii="Segoe UI" w:hAnsi="Segoe UI" w:cs="Segoe UI"/>
          <w:color w:val="212529"/>
          <w:sz w:val="22"/>
          <w:szCs w:val="22"/>
          <w:shd w:val="clear" w:color="auto" w:fill="FFFFFF"/>
        </w:rPr>
      </w:pPr>
      <w:r w:rsidRPr="009110F5">
        <w:rPr>
          <w:rFonts w:ascii="Segoe UI" w:hAnsi="Segoe UI" w:cs="Segoe UI"/>
          <w:color w:val="212529"/>
          <w:sz w:val="22"/>
          <w:szCs w:val="22"/>
          <w:shd w:val="clear" w:color="auto" w:fill="FFFFFF"/>
        </w:rPr>
        <w:t>*Note: LCC </w:t>
      </w:r>
      <w:hyperlink r:id="rId4" w:anchor="!/LewisCounty15/LewisCounty1550.html#15.50.020" w:history="1">
        <w:r w:rsidRPr="009110F5">
          <w:rPr>
            <w:rStyle w:val="Hyperlink"/>
            <w:rFonts w:ascii="Segoe UI" w:eastAsiaTheme="majorEastAsia" w:hAnsi="Segoe UI" w:cs="Segoe UI"/>
            <w:sz w:val="22"/>
            <w:szCs w:val="22"/>
            <w:shd w:val="clear" w:color="auto" w:fill="FFFFFF"/>
          </w:rPr>
          <w:t>15.50.020</w:t>
        </w:r>
      </w:hyperlink>
      <w:r w:rsidRPr="009110F5">
        <w:rPr>
          <w:rFonts w:ascii="Segoe UI" w:hAnsi="Segoe UI" w:cs="Segoe UI"/>
          <w:color w:val="212529"/>
          <w:sz w:val="22"/>
          <w:szCs w:val="22"/>
          <w:shd w:val="clear" w:color="auto" w:fill="FFFFFF"/>
        </w:rPr>
        <w:t> et seq. also define wireless communications facility.</w:t>
      </w:r>
    </w:p>
    <w:p w14:paraId="2C430CB0" w14:textId="77777777" w:rsidR="00825CF8" w:rsidRDefault="00825CF8"/>
    <w:sectPr w:rsidR="00825CF8" w:rsidSect="003B22D3">
      <w:pgSz w:w="12240" w:h="15840"/>
      <w:pgMar w:top="1440" w:right="1440" w:bottom="1440" w:left="1440" w:header="432" w:footer="28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2D3"/>
    <w:rsid w:val="00343CF4"/>
    <w:rsid w:val="003B22D3"/>
    <w:rsid w:val="00825CF8"/>
    <w:rsid w:val="00E4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A5604"/>
  <w15:chartTrackingRefBased/>
  <w15:docId w15:val="{FEFA73EF-484E-4D90-B319-67BB61821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2D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B22D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22D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22D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22D3"/>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B22D3"/>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B22D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B22D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B22D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B22D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2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2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2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2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2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2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2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2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2D3"/>
    <w:rPr>
      <w:rFonts w:eastAsiaTheme="majorEastAsia" w:cstheme="majorBidi"/>
      <w:color w:val="272727" w:themeColor="text1" w:themeTint="D8"/>
    </w:rPr>
  </w:style>
  <w:style w:type="paragraph" w:styleId="Title">
    <w:name w:val="Title"/>
    <w:basedOn w:val="Normal"/>
    <w:next w:val="Normal"/>
    <w:link w:val="TitleChar"/>
    <w:uiPriority w:val="10"/>
    <w:qFormat/>
    <w:rsid w:val="003B22D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22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2D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22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2D3"/>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B22D3"/>
    <w:rPr>
      <w:i/>
      <w:iCs/>
      <w:color w:val="404040" w:themeColor="text1" w:themeTint="BF"/>
    </w:rPr>
  </w:style>
  <w:style w:type="paragraph" w:styleId="ListParagraph">
    <w:name w:val="List Paragraph"/>
    <w:basedOn w:val="Normal"/>
    <w:uiPriority w:val="34"/>
    <w:qFormat/>
    <w:rsid w:val="003B22D3"/>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B22D3"/>
    <w:rPr>
      <w:i/>
      <w:iCs/>
      <w:color w:val="0F4761" w:themeColor="accent1" w:themeShade="BF"/>
    </w:rPr>
  </w:style>
  <w:style w:type="paragraph" w:styleId="IntenseQuote">
    <w:name w:val="Intense Quote"/>
    <w:basedOn w:val="Normal"/>
    <w:next w:val="Normal"/>
    <w:link w:val="IntenseQuoteChar"/>
    <w:uiPriority w:val="30"/>
    <w:qFormat/>
    <w:rsid w:val="003B22D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B22D3"/>
    <w:rPr>
      <w:i/>
      <w:iCs/>
      <w:color w:val="0F4761" w:themeColor="accent1" w:themeShade="BF"/>
    </w:rPr>
  </w:style>
  <w:style w:type="character" w:styleId="IntenseReference">
    <w:name w:val="Intense Reference"/>
    <w:basedOn w:val="DefaultParagraphFont"/>
    <w:uiPriority w:val="32"/>
    <w:qFormat/>
    <w:rsid w:val="003B22D3"/>
    <w:rPr>
      <w:b/>
      <w:bCs/>
      <w:smallCaps/>
      <w:color w:val="0F4761" w:themeColor="accent1" w:themeShade="BF"/>
      <w:spacing w:val="5"/>
    </w:rPr>
  </w:style>
  <w:style w:type="character" w:styleId="Hyperlink">
    <w:name w:val="Hyperlink"/>
    <w:uiPriority w:val="99"/>
    <w:rsid w:val="003B22D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Kamieniecki</dc:creator>
  <cp:keywords/>
  <dc:description/>
  <cp:lastModifiedBy>Natalie Kamieniecki</cp:lastModifiedBy>
  <cp:revision>1</cp:revision>
  <dcterms:created xsi:type="dcterms:W3CDTF">2025-12-10T22:56:00Z</dcterms:created>
  <dcterms:modified xsi:type="dcterms:W3CDTF">2025-12-10T22:57:00Z</dcterms:modified>
</cp:coreProperties>
</file>