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10436" w14:textId="77777777" w:rsidR="00AA7BD0" w:rsidRPr="00AA7BD0" w:rsidRDefault="00AA7BD0" w:rsidP="00AA7BD0">
      <w:pPr>
        <w:jc w:val="center"/>
        <w:rPr>
          <w:rFonts w:cs="Segoe UI"/>
          <w:b/>
          <w:bCs/>
        </w:rPr>
      </w:pPr>
      <w:r w:rsidRPr="00AA7BD0">
        <w:rPr>
          <w:rFonts w:cs="Segoe UI"/>
          <w:b/>
          <w:bCs/>
        </w:rPr>
        <w:t>BEFORE THE BOARD OF COUNTY COMMISSIONERS</w:t>
      </w:r>
    </w:p>
    <w:p w14:paraId="17BB7E1C" w14:textId="77777777" w:rsidR="00AA7BD0" w:rsidRPr="00AA7BD0" w:rsidRDefault="00AA7BD0" w:rsidP="00AA7BD0">
      <w:pPr>
        <w:jc w:val="center"/>
        <w:rPr>
          <w:rFonts w:cs="Segoe UI"/>
          <w:b/>
          <w:bCs/>
        </w:rPr>
      </w:pPr>
      <w:r w:rsidRPr="00AA7BD0">
        <w:rPr>
          <w:rFonts w:cs="Segoe UI"/>
          <w:b/>
          <w:bCs/>
        </w:rPr>
        <w:t>OF LEWIS COUNTY, WASHINGTON</w:t>
      </w:r>
    </w:p>
    <w:p w14:paraId="0EE1C0A1" w14:textId="77777777" w:rsidR="00AA7BD0" w:rsidRPr="00AA7BD0" w:rsidRDefault="00AA7BD0" w:rsidP="00AA7BD0">
      <w:pPr>
        <w:rPr>
          <w:rFonts w:cs="Segoe U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AA7BD0" w:rsidRPr="00AA7BD0" w14:paraId="38909E7E" w14:textId="77777777" w:rsidTr="00D15D57">
        <w:tc>
          <w:tcPr>
            <w:tcW w:w="6030" w:type="dxa"/>
          </w:tcPr>
          <w:p w14:paraId="05A7ACC5" w14:textId="0ACA26AF" w:rsidR="00AA7BD0" w:rsidRPr="00AA7BD0" w:rsidRDefault="009946C6" w:rsidP="00D15D57">
            <w:pPr>
              <w:rPr>
                <w:rFonts w:cs="Segoe UI"/>
                <w:b/>
                <w:bCs/>
                <w:sz w:val="22"/>
              </w:rPr>
            </w:pPr>
            <w:r>
              <w:rPr>
                <w:rFonts w:cs="Segoe UI"/>
                <w:b/>
                <w:bCs/>
                <w:sz w:val="22"/>
              </w:rPr>
              <w:t>A</w:t>
            </w:r>
            <w:r w:rsidR="00AA7BD0" w:rsidRPr="00AA7BD0">
              <w:rPr>
                <w:rFonts w:cs="Segoe UI"/>
                <w:b/>
                <w:bCs/>
                <w:sz w:val="22"/>
              </w:rPr>
              <w:t>uthorize the</w:t>
            </w:r>
            <w:r>
              <w:rPr>
                <w:rFonts w:cs="Segoe UI"/>
                <w:b/>
                <w:bCs/>
                <w:sz w:val="22"/>
              </w:rPr>
              <w:t xml:space="preserve"> County Manager </w:t>
            </w:r>
            <w:r w:rsidR="00AA7BD0" w:rsidRPr="00AA7BD0">
              <w:rPr>
                <w:rFonts w:cs="Segoe UI"/>
                <w:b/>
                <w:bCs/>
                <w:sz w:val="22"/>
              </w:rPr>
              <w:t xml:space="preserve">to enter into an interlocal agreement with the City of Chehalis </w:t>
            </w:r>
            <w:r w:rsidR="005474B1" w:rsidRPr="005474B1">
              <w:rPr>
                <w:rFonts w:cs="Segoe UI"/>
                <w:b/>
                <w:bCs/>
                <w:sz w:val="22"/>
              </w:rPr>
              <w:t>for the City to annex territory within the City of Chehalis urban growth area</w:t>
            </w:r>
          </w:p>
        </w:tc>
        <w:tc>
          <w:tcPr>
            <w:tcW w:w="289" w:type="dxa"/>
          </w:tcPr>
          <w:p w14:paraId="0C9BB199" w14:textId="77777777" w:rsidR="00AA7BD0" w:rsidRPr="00AA7BD0" w:rsidRDefault="00AA7BD0" w:rsidP="00AA7BD0">
            <w:pPr>
              <w:spacing w:line="240" w:lineRule="auto"/>
              <w:rPr>
                <w:rFonts w:cs="Segoe UI"/>
                <w:b/>
                <w:bCs/>
                <w:sz w:val="22"/>
              </w:rPr>
            </w:pPr>
            <w:r w:rsidRPr="00AA7BD0">
              <w:rPr>
                <w:rFonts w:cs="Segoe UI"/>
                <w:b/>
                <w:bCs/>
                <w:sz w:val="22"/>
              </w:rPr>
              <w:t>)</w:t>
            </w:r>
          </w:p>
          <w:p w14:paraId="4BF8FE9E" w14:textId="77777777" w:rsidR="00AA7BD0" w:rsidRPr="00AA7BD0" w:rsidRDefault="00AA7BD0" w:rsidP="00AA7BD0">
            <w:pPr>
              <w:spacing w:line="240" w:lineRule="auto"/>
              <w:rPr>
                <w:rFonts w:cs="Segoe UI"/>
                <w:b/>
                <w:bCs/>
                <w:sz w:val="22"/>
              </w:rPr>
            </w:pPr>
            <w:r w:rsidRPr="00AA7BD0">
              <w:rPr>
                <w:rFonts w:cs="Segoe UI"/>
                <w:b/>
                <w:bCs/>
                <w:sz w:val="22"/>
              </w:rPr>
              <w:t>)</w:t>
            </w:r>
          </w:p>
          <w:p w14:paraId="5F02F37C" w14:textId="358E58AA" w:rsidR="00AA7BD0" w:rsidRPr="00AA7BD0" w:rsidRDefault="00D61DCD" w:rsidP="00AA7BD0">
            <w:pPr>
              <w:spacing w:line="240" w:lineRule="auto"/>
              <w:rPr>
                <w:rFonts w:cs="Segoe UI"/>
                <w:b/>
                <w:bCs/>
                <w:sz w:val="22"/>
              </w:rPr>
            </w:pPr>
            <w:r>
              <w:rPr>
                <w:rFonts w:cs="Segoe UI"/>
                <w:b/>
                <w:bCs/>
                <w:sz w:val="22"/>
              </w:rPr>
              <w:t>)</w:t>
            </w:r>
          </w:p>
        </w:tc>
        <w:tc>
          <w:tcPr>
            <w:tcW w:w="3041" w:type="dxa"/>
            <w:vAlign w:val="center"/>
          </w:tcPr>
          <w:p w14:paraId="0F43D6B5" w14:textId="280B4C7B" w:rsidR="00AA7BD0" w:rsidRPr="00AA7BD0" w:rsidRDefault="00F129A1" w:rsidP="00D15D57">
            <w:pPr>
              <w:jc w:val="center"/>
              <w:rPr>
                <w:rFonts w:cs="Segoe UI"/>
                <w:b/>
                <w:bCs/>
                <w:sz w:val="22"/>
              </w:rPr>
            </w:pPr>
            <w:r>
              <w:rPr>
                <w:rFonts w:cs="Segoe UI"/>
                <w:b/>
                <w:bCs/>
                <w:sz w:val="22"/>
              </w:rPr>
              <w:t>ORDINANCE</w:t>
            </w:r>
            <w:r w:rsidR="00EA1955">
              <w:rPr>
                <w:rFonts w:cs="Segoe UI"/>
                <w:b/>
                <w:bCs/>
                <w:sz w:val="22"/>
              </w:rPr>
              <w:t xml:space="preserve"> 1368</w:t>
            </w:r>
          </w:p>
        </w:tc>
      </w:tr>
    </w:tbl>
    <w:p w14:paraId="416C3120" w14:textId="77777777" w:rsidR="00AA7BD0" w:rsidRDefault="00AA7BD0" w:rsidP="00AA7BD0">
      <w:pPr>
        <w:spacing w:after="0" w:line="264" w:lineRule="auto"/>
        <w:ind w:firstLine="720"/>
        <w:jc w:val="both"/>
        <w:rPr>
          <w:rFonts w:cs="Segoe UI"/>
          <w:b/>
        </w:rPr>
      </w:pPr>
    </w:p>
    <w:p w14:paraId="70C0DBF3" w14:textId="6F44E759" w:rsidR="00AA7BD0" w:rsidRPr="00AA7BD0" w:rsidRDefault="00AA7BD0" w:rsidP="00AA7BD0">
      <w:pPr>
        <w:spacing w:after="0" w:line="264" w:lineRule="auto"/>
        <w:ind w:firstLine="720"/>
        <w:jc w:val="both"/>
        <w:rPr>
          <w:rFonts w:cs="Segoe UI"/>
        </w:rPr>
      </w:pPr>
      <w:r w:rsidRPr="00AA7BD0">
        <w:rPr>
          <w:rFonts w:cs="Segoe UI"/>
          <w:b/>
        </w:rPr>
        <w:t>WHEREAS</w:t>
      </w:r>
      <w:r w:rsidRPr="00AA7BD0">
        <w:rPr>
          <w:rFonts w:cs="Segoe UI"/>
        </w:rPr>
        <w:t>, Lewis County designated an urban growth area for the City of Chehalis as required by the Growth Management Act (GMA) pursuant to RCW 36.70A; and</w:t>
      </w:r>
    </w:p>
    <w:p w14:paraId="31C2FECD" w14:textId="77777777" w:rsidR="00AA7BD0" w:rsidRPr="00AA7BD0" w:rsidRDefault="00AA7BD0" w:rsidP="00AA7BD0">
      <w:pPr>
        <w:spacing w:after="0" w:line="264" w:lineRule="auto"/>
        <w:jc w:val="both"/>
        <w:rPr>
          <w:rFonts w:cs="Segoe UI"/>
        </w:rPr>
      </w:pPr>
    </w:p>
    <w:p w14:paraId="20B5CC53" w14:textId="10BEEA66" w:rsidR="00AA7BD0" w:rsidRPr="00AA7BD0" w:rsidRDefault="00AA7BD0" w:rsidP="00AA7BD0">
      <w:pPr>
        <w:spacing w:after="0" w:line="264" w:lineRule="auto"/>
        <w:ind w:firstLine="720"/>
        <w:jc w:val="both"/>
        <w:rPr>
          <w:rFonts w:cs="Segoe UI"/>
        </w:rPr>
      </w:pPr>
      <w:r w:rsidRPr="00AA7BD0">
        <w:rPr>
          <w:rFonts w:cs="Segoe UI"/>
          <w:b/>
        </w:rPr>
        <w:t>WHEREAS</w:t>
      </w:r>
      <w:r w:rsidRPr="00AA7BD0">
        <w:rPr>
          <w:rFonts w:cs="Segoe UI"/>
        </w:rPr>
        <w:t>, RCW 36.70A.110(7) states, “An urban growth area designated in accordance with this section may include within its boundaries...potential annexation areas designated for specific cities and towns in the count</w:t>
      </w:r>
      <w:r w:rsidR="00EA1955">
        <w:rPr>
          <w:rFonts w:cs="Segoe UI"/>
        </w:rPr>
        <w:t>y</w:t>
      </w:r>
      <w:r w:rsidRPr="00AA7BD0">
        <w:rPr>
          <w:rFonts w:cs="Segoe UI"/>
        </w:rPr>
        <w:t>”; and</w:t>
      </w:r>
    </w:p>
    <w:p w14:paraId="796C5B6C" w14:textId="77777777" w:rsidR="00AA7BD0" w:rsidRPr="00AA7BD0" w:rsidRDefault="00AA7BD0" w:rsidP="00AA7BD0">
      <w:pPr>
        <w:spacing w:after="0" w:line="264" w:lineRule="auto"/>
        <w:jc w:val="both"/>
        <w:rPr>
          <w:rFonts w:cs="Segoe UI"/>
        </w:rPr>
      </w:pPr>
    </w:p>
    <w:p w14:paraId="4CFC452E" w14:textId="44491A5E" w:rsidR="00AA7BD0" w:rsidRPr="00AA7BD0" w:rsidRDefault="00AA7BD0" w:rsidP="00AA7BD0">
      <w:pPr>
        <w:spacing w:after="0" w:line="264" w:lineRule="auto"/>
        <w:ind w:firstLine="720"/>
        <w:jc w:val="both"/>
        <w:rPr>
          <w:rFonts w:cs="Segoe UI"/>
          <w:b/>
        </w:rPr>
      </w:pPr>
      <w:r w:rsidRPr="00AA7BD0">
        <w:rPr>
          <w:rFonts w:cs="Segoe UI"/>
          <w:b/>
          <w:bCs/>
        </w:rPr>
        <w:t>WHEREAS</w:t>
      </w:r>
      <w:r w:rsidRPr="00AA7BD0">
        <w:rPr>
          <w:rFonts w:cs="Segoe UI"/>
          <w:b/>
        </w:rPr>
        <w:t xml:space="preserve">, </w:t>
      </w:r>
      <w:r w:rsidRPr="00AA7BD0">
        <w:rPr>
          <w:rFonts w:cs="Segoe UI"/>
          <w:bCs/>
        </w:rPr>
        <w:t>the City of Chehalis is a non-charter code city incorporated under the Optional Municipal Code, pursuant to RCW 35A, and has authority under RCW 35A.14 to annex property within its urban growth area</w:t>
      </w:r>
      <w:r w:rsidRPr="00AA7BD0">
        <w:rPr>
          <w:rFonts w:cs="Segoe UI"/>
        </w:rPr>
        <w:t>; and</w:t>
      </w:r>
    </w:p>
    <w:p w14:paraId="04F6D4CD" w14:textId="77777777" w:rsidR="00AA7BD0" w:rsidRPr="00AA7BD0" w:rsidRDefault="00AA7BD0" w:rsidP="00AA7BD0">
      <w:pPr>
        <w:spacing w:after="0" w:line="264" w:lineRule="auto"/>
        <w:jc w:val="both"/>
        <w:rPr>
          <w:rFonts w:cs="Segoe UI"/>
        </w:rPr>
      </w:pPr>
    </w:p>
    <w:p w14:paraId="0C4E5CD8" w14:textId="2A3A93EC" w:rsidR="00AA7BD0" w:rsidRPr="00AA7BD0" w:rsidRDefault="00AA7BD0" w:rsidP="00AA7BD0">
      <w:pPr>
        <w:spacing w:after="0" w:line="264" w:lineRule="auto"/>
        <w:ind w:firstLine="720"/>
        <w:jc w:val="both"/>
        <w:rPr>
          <w:rFonts w:cs="Segoe UI"/>
        </w:rPr>
      </w:pPr>
      <w:r w:rsidRPr="00AA7BD0">
        <w:rPr>
          <w:rFonts w:cs="Segoe UI"/>
          <w:b/>
        </w:rPr>
        <w:t>WHEREAS</w:t>
      </w:r>
      <w:r w:rsidRPr="00AA7BD0">
        <w:rPr>
          <w:rFonts w:cs="Segoe UI"/>
        </w:rPr>
        <w:t>, the City of Chehalis desires to annex the designated Chehalis Annexation Area (hereinafter referred to as “CAA”) as shown in Exhibit A, Interlocal Agreement, utilizing the annexation method provided in RCW 35A.14.472; and</w:t>
      </w:r>
    </w:p>
    <w:p w14:paraId="354C8FEE" w14:textId="77777777" w:rsidR="00AA7BD0" w:rsidRPr="00AA7BD0" w:rsidRDefault="00AA7BD0" w:rsidP="00AA7BD0">
      <w:pPr>
        <w:spacing w:after="0" w:line="264" w:lineRule="auto"/>
        <w:ind w:firstLine="720"/>
        <w:jc w:val="both"/>
        <w:rPr>
          <w:rFonts w:cs="Segoe UI"/>
        </w:rPr>
      </w:pPr>
    </w:p>
    <w:p w14:paraId="553A5F8C" w14:textId="7EE3BF11" w:rsidR="00AA7BD0" w:rsidRPr="00AA7BD0" w:rsidRDefault="00AA7BD0" w:rsidP="00AA7BD0">
      <w:pPr>
        <w:spacing w:after="0" w:line="264" w:lineRule="auto"/>
        <w:ind w:firstLine="720"/>
        <w:jc w:val="both"/>
        <w:rPr>
          <w:rFonts w:cs="Segoe UI"/>
        </w:rPr>
      </w:pPr>
      <w:r w:rsidRPr="00AA7BD0">
        <w:rPr>
          <w:rFonts w:cs="Segoe UI"/>
          <w:b/>
          <w:bCs/>
        </w:rPr>
        <w:t>WHEREAS</w:t>
      </w:r>
      <w:r w:rsidRPr="00AA7BD0">
        <w:rPr>
          <w:rFonts w:cs="Segoe UI"/>
        </w:rPr>
        <w:t xml:space="preserve">, RCW 35A.14.472 allows the City of Chehalis and Lewis County to enter into an Interlocal Agreement to annex the CAA, Exhibit A, and this Agreement does not create or authorize the creation of a separate legal or administrative entity but instead is an agreement for joint or cooperative action; and </w:t>
      </w:r>
    </w:p>
    <w:p w14:paraId="3B705FA4" w14:textId="77777777" w:rsidR="00AA7BD0" w:rsidRPr="00AA7BD0" w:rsidRDefault="00AA7BD0" w:rsidP="00AA7BD0">
      <w:pPr>
        <w:spacing w:after="0" w:line="264" w:lineRule="auto"/>
        <w:jc w:val="both"/>
        <w:rPr>
          <w:rFonts w:cs="Segoe UI"/>
        </w:rPr>
      </w:pPr>
    </w:p>
    <w:p w14:paraId="6111F1FD" w14:textId="222FF9C6" w:rsidR="00AA7BD0" w:rsidRPr="00AA7BD0" w:rsidRDefault="00AA7BD0" w:rsidP="00AA7BD0">
      <w:pPr>
        <w:spacing w:after="0" w:line="264" w:lineRule="auto"/>
        <w:ind w:firstLine="720"/>
        <w:jc w:val="both"/>
        <w:rPr>
          <w:rFonts w:cs="Segoe UI"/>
          <w:bCs/>
        </w:rPr>
      </w:pPr>
      <w:r w:rsidRPr="00AA7BD0">
        <w:rPr>
          <w:rFonts w:cs="Segoe UI"/>
          <w:b/>
        </w:rPr>
        <w:t>WHEREAS,</w:t>
      </w:r>
      <w:r w:rsidRPr="00AA7BD0">
        <w:rPr>
          <w:rFonts w:cs="Segoe UI"/>
          <w:bCs/>
        </w:rPr>
        <w:t xml:space="preserve"> the Chehalis City Council </w:t>
      </w:r>
      <w:bookmarkStart w:id="0" w:name="_Hlk199343018"/>
      <w:r w:rsidRPr="00AA7BD0">
        <w:rPr>
          <w:rFonts w:cs="Segoe UI"/>
          <w:bCs/>
        </w:rPr>
        <w:t xml:space="preserve">passed Resolution </w:t>
      </w:r>
      <w:r w:rsidR="00BB014E">
        <w:rPr>
          <w:rFonts w:cs="Segoe UI"/>
          <w:bCs/>
        </w:rPr>
        <w:t xml:space="preserve">04-2025 </w:t>
      </w:r>
      <w:r w:rsidRPr="00BB014E">
        <w:rPr>
          <w:rFonts w:cs="Segoe UI"/>
          <w:bCs/>
        </w:rPr>
        <w:t xml:space="preserve">on </w:t>
      </w:r>
      <w:r w:rsidR="00BB014E" w:rsidRPr="00BB014E">
        <w:rPr>
          <w:rFonts w:cs="Segoe UI"/>
          <w:bCs/>
        </w:rPr>
        <w:t>April 28</w:t>
      </w:r>
      <w:r w:rsidRPr="00BB014E">
        <w:rPr>
          <w:rFonts w:cs="Segoe UI"/>
          <w:bCs/>
        </w:rPr>
        <w:t>, 2025, directing</w:t>
      </w:r>
      <w:r w:rsidRPr="00AA7BD0">
        <w:rPr>
          <w:rFonts w:cs="Segoe UI"/>
          <w:bCs/>
        </w:rPr>
        <w:t xml:space="preserve"> City staff to negotiate an Interlocal Agreement with </w:t>
      </w:r>
      <w:r w:rsidRPr="00AA7BD0">
        <w:rPr>
          <w:rFonts w:cs="Segoe UI"/>
        </w:rPr>
        <w:t>Lewis</w:t>
      </w:r>
      <w:r w:rsidRPr="00AA7BD0">
        <w:rPr>
          <w:rFonts w:cs="Segoe UI"/>
          <w:bCs/>
        </w:rPr>
        <w:t xml:space="preserve"> County for the Annexation subject to this; and</w:t>
      </w:r>
      <w:bookmarkEnd w:id="0"/>
    </w:p>
    <w:p w14:paraId="087D67D5" w14:textId="77777777" w:rsidR="00AA7BD0" w:rsidRPr="00AA7BD0" w:rsidRDefault="00AA7BD0" w:rsidP="00AA7BD0">
      <w:pPr>
        <w:spacing w:after="0" w:line="264" w:lineRule="auto"/>
        <w:ind w:firstLine="720"/>
        <w:jc w:val="both"/>
        <w:rPr>
          <w:rFonts w:cs="Segoe UI"/>
          <w:bCs/>
        </w:rPr>
      </w:pPr>
    </w:p>
    <w:p w14:paraId="4E04FF97" w14:textId="7DCC852E" w:rsidR="00AA7BD0" w:rsidRPr="00AA7BD0" w:rsidRDefault="00AA7BD0" w:rsidP="00AA7BD0">
      <w:pPr>
        <w:spacing w:after="0" w:line="264" w:lineRule="auto"/>
        <w:ind w:firstLine="720"/>
        <w:jc w:val="both"/>
        <w:rPr>
          <w:rFonts w:cs="Segoe UI"/>
          <w:bCs/>
          <w:color w:val="000000" w:themeColor="text1"/>
        </w:rPr>
      </w:pPr>
      <w:r w:rsidRPr="00AA7BD0">
        <w:rPr>
          <w:rFonts w:cs="Segoe UI"/>
          <w:b/>
          <w:color w:val="000000" w:themeColor="text1"/>
        </w:rPr>
        <w:t>WHEREAS,</w:t>
      </w:r>
      <w:r w:rsidRPr="00AA7BD0">
        <w:rPr>
          <w:rFonts w:cs="Segoe UI"/>
          <w:bCs/>
          <w:color w:val="000000" w:themeColor="text1"/>
        </w:rPr>
        <w:t xml:space="preserve"> the Lewis County Board of Commissioners passed Resolution </w:t>
      </w:r>
      <w:r w:rsidR="00EA1955">
        <w:rPr>
          <w:rFonts w:cs="Segoe UI"/>
          <w:bCs/>
          <w:color w:val="000000" w:themeColor="text1"/>
        </w:rPr>
        <w:t>25-233</w:t>
      </w:r>
      <w:r w:rsidRPr="00AA7BD0">
        <w:rPr>
          <w:rFonts w:cs="Segoe UI"/>
          <w:bCs/>
          <w:color w:val="000000" w:themeColor="text1"/>
        </w:rPr>
        <w:t xml:space="preserve"> on </w:t>
      </w:r>
      <w:r w:rsidR="00EA1955">
        <w:rPr>
          <w:rFonts w:cs="Segoe UI"/>
          <w:bCs/>
          <w:color w:val="000000" w:themeColor="text1"/>
        </w:rPr>
        <w:t>August 26</w:t>
      </w:r>
      <w:r w:rsidRPr="00AA7BD0">
        <w:rPr>
          <w:rFonts w:cs="Segoe UI"/>
          <w:bCs/>
          <w:color w:val="000000" w:themeColor="text1"/>
        </w:rPr>
        <w:t xml:space="preserve">, 2025, directing County staff to negotiate an Interlocal Agreement with </w:t>
      </w:r>
      <w:r w:rsidRPr="00AA7BD0">
        <w:rPr>
          <w:rFonts w:cs="Segoe UI"/>
          <w:color w:val="000000" w:themeColor="text1"/>
        </w:rPr>
        <w:t>the City of Chehalis</w:t>
      </w:r>
      <w:r w:rsidRPr="00AA7BD0">
        <w:rPr>
          <w:rFonts w:cs="Segoe UI"/>
          <w:bCs/>
          <w:color w:val="000000" w:themeColor="text1"/>
        </w:rPr>
        <w:t xml:space="preserve"> for the Annexation subject to this; and</w:t>
      </w:r>
    </w:p>
    <w:p w14:paraId="30CE19F3" w14:textId="77777777" w:rsidR="00AA7BD0" w:rsidRPr="00AA7BD0" w:rsidRDefault="00AA7BD0" w:rsidP="00AA7BD0">
      <w:pPr>
        <w:spacing w:after="0" w:line="264" w:lineRule="auto"/>
        <w:jc w:val="both"/>
        <w:rPr>
          <w:rFonts w:cs="Segoe UI"/>
        </w:rPr>
      </w:pPr>
    </w:p>
    <w:p w14:paraId="6DC64DCD" w14:textId="77777777" w:rsidR="00AA7BD0" w:rsidRPr="00AA7BD0" w:rsidRDefault="00AA7BD0" w:rsidP="00AA7BD0">
      <w:pPr>
        <w:spacing w:after="0" w:line="264" w:lineRule="auto"/>
        <w:ind w:firstLine="720"/>
        <w:jc w:val="both"/>
        <w:rPr>
          <w:rFonts w:cs="Segoe UI"/>
        </w:rPr>
      </w:pPr>
      <w:r w:rsidRPr="00AA7BD0">
        <w:rPr>
          <w:rFonts w:cs="Segoe UI"/>
          <w:b/>
        </w:rPr>
        <w:t>WHEREAS</w:t>
      </w:r>
      <w:r w:rsidRPr="00AA7BD0">
        <w:rPr>
          <w:rFonts w:cs="Segoe UI"/>
        </w:rPr>
        <w:t>, the Annexation is exempt from compliance with the requirements of the State Environmental Policy Act pursuant to RCW 43.21C.222; and</w:t>
      </w:r>
    </w:p>
    <w:p w14:paraId="6BA39919" w14:textId="77777777" w:rsidR="00AA7BD0" w:rsidRPr="00AA7BD0" w:rsidRDefault="00AA7BD0" w:rsidP="00AA7BD0">
      <w:pPr>
        <w:spacing w:after="0" w:line="264" w:lineRule="auto"/>
        <w:ind w:firstLine="720"/>
        <w:jc w:val="both"/>
        <w:rPr>
          <w:rFonts w:cs="Segoe UI"/>
          <w:highlight w:val="yellow"/>
        </w:rPr>
      </w:pPr>
    </w:p>
    <w:p w14:paraId="7E353603" w14:textId="61A5F558" w:rsidR="00AA7BD0" w:rsidRPr="00AA7BD0" w:rsidRDefault="00AA7BD0" w:rsidP="00AA7BD0">
      <w:pPr>
        <w:spacing w:after="0" w:line="264" w:lineRule="auto"/>
        <w:ind w:firstLine="720"/>
        <w:jc w:val="both"/>
        <w:rPr>
          <w:rFonts w:cs="Segoe UI"/>
          <w:b/>
          <w:bCs/>
        </w:rPr>
      </w:pPr>
      <w:r w:rsidRPr="00AA7BD0">
        <w:rPr>
          <w:rFonts w:cs="Segoe UI"/>
          <w:b/>
          <w:bCs/>
        </w:rPr>
        <w:t xml:space="preserve">WHEREAS, </w:t>
      </w:r>
      <w:r w:rsidRPr="00AA7BD0">
        <w:rPr>
          <w:rFonts w:cs="Segoe UI"/>
        </w:rPr>
        <w:t xml:space="preserve">the City of Chehalis and Lewis County published a notice of public hearing on </w:t>
      </w:r>
      <w:r w:rsidR="00EA1955">
        <w:rPr>
          <w:rFonts w:cs="Segoe UI"/>
        </w:rPr>
        <w:t>September 18, 2025</w:t>
      </w:r>
      <w:r w:rsidRPr="00AA7BD0">
        <w:rPr>
          <w:rFonts w:cs="Segoe UI"/>
        </w:rPr>
        <w:t>, in the legal newspaper of record, as required by RCW 35A.14.472 (1); and</w:t>
      </w:r>
    </w:p>
    <w:p w14:paraId="5A65FA83" w14:textId="77777777" w:rsidR="00AA7BD0" w:rsidRPr="00AA7BD0" w:rsidRDefault="00AA7BD0" w:rsidP="00AA7BD0">
      <w:pPr>
        <w:spacing w:after="0" w:line="264" w:lineRule="auto"/>
        <w:jc w:val="both"/>
        <w:rPr>
          <w:rFonts w:cs="Segoe UI"/>
          <w:b/>
          <w:bCs/>
        </w:rPr>
      </w:pPr>
    </w:p>
    <w:p w14:paraId="15486350" w14:textId="612B59F7" w:rsidR="00AA7BD0" w:rsidRPr="00AA7BD0" w:rsidRDefault="00AA7BD0" w:rsidP="00AA7BD0">
      <w:pPr>
        <w:spacing w:after="0" w:line="264" w:lineRule="auto"/>
        <w:ind w:firstLine="720"/>
        <w:jc w:val="both"/>
        <w:rPr>
          <w:rFonts w:cs="Segoe UI"/>
          <w:bCs/>
        </w:rPr>
      </w:pPr>
      <w:r w:rsidRPr="00AA7BD0">
        <w:rPr>
          <w:rFonts w:cs="Segoe UI"/>
          <w:b/>
        </w:rPr>
        <w:t>WHEREAS</w:t>
      </w:r>
      <w:r w:rsidRPr="00AA7BD0">
        <w:rPr>
          <w:rFonts w:cs="Segoe UI"/>
          <w:bCs/>
        </w:rPr>
        <w:t>,</w:t>
      </w:r>
      <w:r w:rsidRPr="00AA7BD0">
        <w:rPr>
          <w:rFonts w:cs="Segoe UI"/>
          <w:bCs/>
          <w:color w:val="000000" w:themeColor="text1"/>
        </w:rPr>
        <w:t xml:space="preserve"> both jurisdictions have provided for broad public dissemination of materials and information pertaining to the annexation through publication on each jurisdiction’s website and as hard copy by request; and</w:t>
      </w:r>
    </w:p>
    <w:p w14:paraId="1516A0DF" w14:textId="77777777" w:rsidR="00AA7BD0" w:rsidRPr="00AA7BD0" w:rsidRDefault="00AA7BD0" w:rsidP="00AA7BD0">
      <w:pPr>
        <w:spacing w:after="0" w:line="264" w:lineRule="auto"/>
        <w:ind w:firstLine="720"/>
        <w:jc w:val="both"/>
        <w:rPr>
          <w:rFonts w:cs="Segoe UI"/>
          <w:b/>
          <w:bCs/>
          <w:color w:val="FF0000"/>
        </w:rPr>
      </w:pPr>
    </w:p>
    <w:p w14:paraId="20265651" w14:textId="067F89A4" w:rsidR="00AA7BD0" w:rsidRPr="00AA7BD0" w:rsidRDefault="00AA7BD0" w:rsidP="00AA7BD0">
      <w:pPr>
        <w:spacing w:after="0" w:line="264" w:lineRule="auto"/>
        <w:ind w:firstLine="720"/>
        <w:jc w:val="both"/>
        <w:rPr>
          <w:rFonts w:cs="Segoe UI"/>
          <w:color w:val="000000" w:themeColor="text1"/>
        </w:rPr>
      </w:pPr>
      <w:r w:rsidRPr="00AA7BD0">
        <w:rPr>
          <w:rFonts w:cs="Segoe UI"/>
          <w:b/>
          <w:bCs/>
          <w:color w:val="000000" w:themeColor="text1"/>
        </w:rPr>
        <w:t xml:space="preserve">WHEREAS, </w:t>
      </w:r>
      <w:r w:rsidRPr="00AA7BD0">
        <w:rPr>
          <w:rFonts w:cs="Segoe UI"/>
          <w:color w:val="000000" w:themeColor="text1"/>
        </w:rPr>
        <w:t>after effective notice was given,</w:t>
      </w:r>
      <w:r w:rsidRPr="00AA7BD0">
        <w:rPr>
          <w:rFonts w:cs="Segoe UI"/>
          <w:b/>
          <w:bCs/>
          <w:color w:val="000000" w:themeColor="text1"/>
        </w:rPr>
        <w:t xml:space="preserve"> </w:t>
      </w:r>
      <w:r w:rsidRPr="00AA7BD0">
        <w:rPr>
          <w:rFonts w:cs="Segoe UI"/>
          <w:color w:val="000000" w:themeColor="text1"/>
        </w:rPr>
        <w:t xml:space="preserve">a joint public hearing was held by each legislative body on </w:t>
      </w:r>
      <w:r w:rsidR="00EA1955">
        <w:rPr>
          <w:rFonts w:cs="Segoe UI"/>
          <w:color w:val="000000" w:themeColor="text1"/>
        </w:rPr>
        <w:t xml:space="preserve">October 20, 2025 </w:t>
      </w:r>
      <w:r w:rsidRPr="00AA7BD0">
        <w:rPr>
          <w:rFonts w:cs="Segoe UI"/>
          <w:color w:val="000000" w:themeColor="text1"/>
        </w:rPr>
        <w:t>concerning the adoption of the Interlocal Agreement, Exhibit A, as required by RCW 35A.14.472 (1) with the opportunity for written public comments and consideration and response to public comments; and</w:t>
      </w:r>
    </w:p>
    <w:p w14:paraId="79CA29F4" w14:textId="77777777" w:rsidR="00AA7BD0" w:rsidRPr="00AA7BD0" w:rsidRDefault="00AA7BD0" w:rsidP="00AA7BD0">
      <w:pPr>
        <w:spacing w:after="0" w:line="264" w:lineRule="auto"/>
        <w:ind w:firstLine="720"/>
        <w:jc w:val="both"/>
        <w:rPr>
          <w:rFonts w:cs="Segoe UI"/>
        </w:rPr>
      </w:pPr>
    </w:p>
    <w:p w14:paraId="5BB86F3F" w14:textId="275BCCDE" w:rsidR="00AA7BD0" w:rsidRPr="00AA7BD0" w:rsidRDefault="00AA7BD0" w:rsidP="00AA7BD0">
      <w:pPr>
        <w:spacing w:after="0" w:line="264" w:lineRule="auto"/>
        <w:ind w:firstLine="720"/>
        <w:jc w:val="both"/>
        <w:rPr>
          <w:rFonts w:cs="Segoe UI"/>
          <w:bCs/>
        </w:rPr>
      </w:pPr>
      <w:r w:rsidRPr="00AA7BD0">
        <w:rPr>
          <w:rFonts w:cs="Segoe UI"/>
          <w:b/>
        </w:rPr>
        <w:t>WHEREAS</w:t>
      </w:r>
      <w:r w:rsidRPr="00AA7BD0">
        <w:rPr>
          <w:rFonts w:cs="Segoe UI"/>
          <w:bCs/>
        </w:rPr>
        <w:t>, The City of Chehalis finds that the annexation will result in a balance of commercial, industrial, and residential properties, as required by RCW 35A.14.472 (3)(a); and</w:t>
      </w:r>
    </w:p>
    <w:p w14:paraId="4D90BC98" w14:textId="77777777" w:rsidR="00AA7BD0" w:rsidRPr="00AA7BD0" w:rsidRDefault="00AA7BD0" w:rsidP="00AA7BD0">
      <w:pPr>
        <w:spacing w:after="0" w:line="264" w:lineRule="auto"/>
        <w:ind w:firstLine="720"/>
        <w:jc w:val="both"/>
        <w:rPr>
          <w:rFonts w:cs="Segoe UI"/>
          <w:bCs/>
        </w:rPr>
      </w:pPr>
    </w:p>
    <w:p w14:paraId="44A004F6" w14:textId="5508A025" w:rsidR="00AA7BD0" w:rsidRPr="00AA7BD0" w:rsidRDefault="00AA7BD0" w:rsidP="00AA7BD0">
      <w:pPr>
        <w:spacing w:after="0" w:line="264" w:lineRule="auto"/>
        <w:ind w:firstLine="720"/>
        <w:jc w:val="both"/>
        <w:rPr>
          <w:rFonts w:cs="Segoe UI"/>
          <w:bCs/>
        </w:rPr>
      </w:pPr>
      <w:r w:rsidRPr="00AA7BD0">
        <w:rPr>
          <w:rFonts w:cs="Segoe UI"/>
          <w:b/>
        </w:rPr>
        <w:t>WHEREAS</w:t>
      </w:r>
      <w:r w:rsidRPr="00AA7BD0">
        <w:rPr>
          <w:rFonts w:cs="Segoe UI"/>
          <w:bCs/>
        </w:rPr>
        <w:t>, The City of Chehalis and Lewis County have coordinated the transfer and maintenance of infrastructure in the CAA, as required by RCW 35A.14.472 (3)(b); and</w:t>
      </w:r>
    </w:p>
    <w:p w14:paraId="49EB20DE" w14:textId="77777777" w:rsidR="00AA7BD0" w:rsidRPr="00AA7BD0" w:rsidRDefault="00AA7BD0" w:rsidP="00AA7BD0">
      <w:pPr>
        <w:spacing w:after="0" w:line="264" w:lineRule="auto"/>
        <w:ind w:firstLine="720"/>
        <w:jc w:val="both"/>
        <w:rPr>
          <w:rFonts w:cs="Segoe UI"/>
          <w:bCs/>
        </w:rPr>
      </w:pPr>
    </w:p>
    <w:p w14:paraId="5C58B3C5" w14:textId="7C824FC9" w:rsidR="00AA7BD0" w:rsidRDefault="00AA7BD0" w:rsidP="00AA7BD0">
      <w:pPr>
        <w:spacing w:after="0" w:line="264" w:lineRule="auto"/>
        <w:ind w:firstLine="720"/>
        <w:jc w:val="both"/>
        <w:rPr>
          <w:rFonts w:cs="Segoe UI"/>
          <w:bCs/>
        </w:rPr>
      </w:pPr>
      <w:r w:rsidRPr="00AA7BD0">
        <w:rPr>
          <w:rFonts w:cs="Segoe UI"/>
          <w:b/>
        </w:rPr>
        <w:t>WHEREAS</w:t>
      </w:r>
      <w:r w:rsidRPr="00AA7BD0">
        <w:rPr>
          <w:rFonts w:cs="Segoe UI"/>
          <w:bCs/>
        </w:rPr>
        <w:t xml:space="preserve"> the City of Chehalis and Lewis County have evaluated the potential for revenue sharing agreements as required by RCW 35A.14.472 (3)(c)</w:t>
      </w:r>
      <w:r w:rsidR="00624070">
        <w:rPr>
          <w:rFonts w:cs="Segoe UI"/>
          <w:bCs/>
        </w:rPr>
        <w:t xml:space="preserve">; and </w:t>
      </w:r>
    </w:p>
    <w:p w14:paraId="47644D62" w14:textId="77777777" w:rsidR="00624070" w:rsidRDefault="00624070" w:rsidP="00AA7BD0">
      <w:pPr>
        <w:spacing w:after="0" w:line="264" w:lineRule="auto"/>
        <w:ind w:firstLine="720"/>
        <w:jc w:val="both"/>
        <w:rPr>
          <w:rFonts w:cs="Segoe UI"/>
          <w:bCs/>
        </w:rPr>
      </w:pPr>
    </w:p>
    <w:p w14:paraId="185017C0" w14:textId="2B2E3EB3" w:rsidR="00624070" w:rsidRPr="00AA7BD0" w:rsidRDefault="00624070" w:rsidP="00AA7BD0">
      <w:pPr>
        <w:spacing w:after="0" w:line="264" w:lineRule="auto"/>
        <w:ind w:firstLine="720"/>
        <w:jc w:val="both"/>
        <w:rPr>
          <w:rFonts w:cs="Segoe UI"/>
          <w:bCs/>
        </w:rPr>
      </w:pPr>
      <w:r w:rsidRPr="00624070">
        <w:rPr>
          <w:rFonts w:cs="Segoe UI"/>
          <w:b/>
        </w:rPr>
        <w:t>WHEREAS,</w:t>
      </w:r>
      <w:r>
        <w:rPr>
          <w:rFonts w:cs="Segoe UI"/>
          <w:bCs/>
        </w:rPr>
        <w:t xml:space="preserve"> the Lewis County and the City of Chehalis have an existing interlocal agreement for co-management of the urban growth area, as shown in Exhibit </w:t>
      </w:r>
      <w:r w:rsidR="00B02252">
        <w:rPr>
          <w:rFonts w:cs="Segoe UI"/>
          <w:bCs/>
        </w:rPr>
        <w:t>D</w:t>
      </w:r>
      <w:r>
        <w:rPr>
          <w:rFonts w:cs="Segoe UI"/>
          <w:bCs/>
        </w:rPr>
        <w:t>, which should be extended through March 31, 2026 or until such time as the annexation become effective.</w:t>
      </w:r>
    </w:p>
    <w:p w14:paraId="4C3EBB1B" w14:textId="77777777" w:rsidR="00AA7BD0" w:rsidRPr="00AA7BD0" w:rsidRDefault="00AA7BD0" w:rsidP="00AA7BD0">
      <w:pPr>
        <w:spacing w:after="0" w:line="264" w:lineRule="auto"/>
        <w:jc w:val="both"/>
        <w:rPr>
          <w:rFonts w:cs="Segoe UI"/>
          <w:b/>
          <w:color w:val="000000" w:themeColor="text1"/>
        </w:rPr>
      </w:pPr>
    </w:p>
    <w:p w14:paraId="2324ABF3" w14:textId="7CB8B1DC" w:rsidR="00AA7BD0" w:rsidRPr="00AA7BD0" w:rsidRDefault="00AA7BD0" w:rsidP="00AA7BD0">
      <w:pPr>
        <w:spacing w:after="0" w:line="264" w:lineRule="auto"/>
        <w:ind w:firstLine="720"/>
        <w:jc w:val="both"/>
        <w:rPr>
          <w:rFonts w:cs="Segoe UI"/>
          <w:bCs/>
        </w:rPr>
      </w:pPr>
      <w:r w:rsidRPr="00AA7BD0">
        <w:rPr>
          <w:rFonts w:cstheme="minorHAnsi"/>
          <w:b/>
        </w:rPr>
        <w:t>NOW THEREFORE BE IT RESOLVED</w:t>
      </w:r>
      <w:r>
        <w:rPr>
          <w:rFonts w:cstheme="minorHAnsi"/>
          <w:b/>
        </w:rPr>
        <w:t xml:space="preserve"> </w:t>
      </w:r>
      <w:r w:rsidRPr="00AA7BD0">
        <w:rPr>
          <w:rFonts w:cstheme="minorHAnsi"/>
          <w:bCs/>
        </w:rPr>
        <w:t>that</w:t>
      </w:r>
      <w:r>
        <w:rPr>
          <w:rFonts w:cstheme="minorHAnsi"/>
          <w:b/>
        </w:rPr>
        <w:t xml:space="preserve"> </w:t>
      </w:r>
      <w:r w:rsidRPr="00AA7BD0">
        <w:rPr>
          <w:rFonts w:cs="Segoe UI"/>
          <w:bCs/>
        </w:rPr>
        <w:t xml:space="preserve"> the Lewis County Board of County Commissioners finds the Interlocal Agreement, Exhibit A, is consistent with the Lewis County Comprehensive Plan and Countywide Planning Policies and is in the public interest; and</w:t>
      </w:r>
    </w:p>
    <w:p w14:paraId="50E557BA" w14:textId="77777777" w:rsidR="00AA7BD0" w:rsidRPr="00AA7BD0" w:rsidRDefault="00AA7BD0" w:rsidP="00AA7BD0">
      <w:pPr>
        <w:spacing w:after="0" w:line="264" w:lineRule="auto"/>
        <w:ind w:firstLine="720"/>
        <w:jc w:val="both"/>
        <w:rPr>
          <w:rFonts w:cs="Segoe UI"/>
          <w:b/>
        </w:rPr>
      </w:pPr>
    </w:p>
    <w:p w14:paraId="671376C9" w14:textId="24E1C94A" w:rsidR="00AA7BD0" w:rsidRDefault="00AA7BD0" w:rsidP="00AA7BD0">
      <w:pPr>
        <w:ind w:firstLine="720"/>
        <w:rPr>
          <w:rFonts w:cstheme="minorHAnsi"/>
        </w:rPr>
      </w:pPr>
      <w:r w:rsidRPr="00AA7BD0">
        <w:rPr>
          <w:rFonts w:cstheme="minorHAnsi"/>
          <w:b/>
        </w:rPr>
        <w:t>NOW THEREFORE BE IT FURTHER RESOLVED</w:t>
      </w:r>
      <w:r w:rsidRPr="00AA7BD0">
        <w:rPr>
          <w:rFonts w:cstheme="minorHAnsi"/>
        </w:rPr>
        <w:t xml:space="preserve"> that the Lewis County Board of County Commissioners authorizes the County Manager to sign the Interlocal Agreement </w:t>
      </w:r>
      <w:r>
        <w:rPr>
          <w:rFonts w:cstheme="minorHAnsi"/>
        </w:rPr>
        <w:t>for annexation of the urban growth area per the term of the agreement, as shown in Exhibit A</w:t>
      </w:r>
      <w:r w:rsidR="00624070">
        <w:rPr>
          <w:rFonts w:cstheme="minorHAnsi"/>
        </w:rPr>
        <w:t>; and</w:t>
      </w:r>
    </w:p>
    <w:p w14:paraId="02BF51FD" w14:textId="3B5D95C7" w:rsidR="00624070" w:rsidRDefault="00624070" w:rsidP="00AA7BD0">
      <w:pPr>
        <w:ind w:firstLine="720"/>
        <w:rPr>
          <w:rFonts w:cstheme="minorHAnsi"/>
        </w:rPr>
      </w:pPr>
      <w:bookmarkStart w:id="1" w:name="_Hlk211505989"/>
      <w:r w:rsidRPr="00624070">
        <w:rPr>
          <w:rFonts w:cstheme="minorHAnsi"/>
          <w:b/>
          <w:bCs/>
        </w:rPr>
        <w:t>NOW THEREFORE BE IT FURTHER RESOLVED</w:t>
      </w:r>
      <w:r>
        <w:rPr>
          <w:rFonts w:cstheme="minorHAnsi"/>
        </w:rPr>
        <w:t xml:space="preserve">  that the </w:t>
      </w:r>
      <w:r w:rsidRPr="00AA7BD0">
        <w:rPr>
          <w:rFonts w:cstheme="minorHAnsi"/>
        </w:rPr>
        <w:t>Lewis County Board of County Commissioners authorizes</w:t>
      </w:r>
      <w:r>
        <w:rPr>
          <w:rFonts w:cstheme="minorHAnsi"/>
        </w:rPr>
        <w:t xml:space="preserve"> the Director of Community Development to sign the Interlocal Agreement, as shown in Exhibit </w:t>
      </w:r>
      <w:r w:rsidR="00B02252">
        <w:rPr>
          <w:rFonts w:cstheme="minorHAnsi"/>
        </w:rPr>
        <w:t>D</w:t>
      </w:r>
      <w:r>
        <w:rPr>
          <w:rFonts w:cstheme="minorHAnsi"/>
        </w:rPr>
        <w:t>, for continued co-management of the urban growth area through March 31, 2026 or until such time as the annexation becomes effective.</w:t>
      </w:r>
    </w:p>
    <w:bookmarkEnd w:id="1"/>
    <w:p w14:paraId="6E1BAD70" w14:textId="77777777" w:rsidR="00D61DCD" w:rsidRPr="007B0CFA" w:rsidRDefault="00D61DCD" w:rsidP="00D61DCD">
      <w:pPr>
        <w:tabs>
          <w:tab w:val="left" w:pos="720"/>
        </w:tabs>
        <w:rPr>
          <w:rFonts w:cs="Calibri"/>
        </w:rPr>
      </w:pPr>
      <w:r>
        <w:rPr>
          <w:rFonts w:cs="Calibri"/>
        </w:rPr>
        <w:t>PASSED IN REGULAR SESSION on this  ______ day of _____________________, 2025, following a public hearing publicized in the paper of record on September 2, 2025.</w:t>
      </w:r>
    </w:p>
    <w:tbl>
      <w:tblPr>
        <w:tblW w:w="0" w:type="auto"/>
        <w:tblLook w:val="04A0" w:firstRow="1" w:lastRow="0" w:firstColumn="1" w:lastColumn="0" w:noHBand="0" w:noVBand="1"/>
      </w:tblPr>
      <w:tblGrid>
        <w:gridCol w:w="4492"/>
        <w:gridCol w:w="355"/>
        <w:gridCol w:w="4513"/>
      </w:tblGrid>
      <w:tr w:rsidR="00D61DCD" w:rsidRPr="007B0CFA" w14:paraId="35C451B7" w14:textId="77777777" w:rsidTr="00A654A3">
        <w:tc>
          <w:tcPr>
            <w:tcW w:w="4608" w:type="dxa"/>
          </w:tcPr>
          <w:p w14:paraId="36D986FE" w14:textId="77777777" w:rsidR="00D61DCD" w:rsidRPr="007B0CFA" w:rsidRDefault="00D61DCD" w:rsidP="00D61DCD">
            <w:pPr>
              <w:spacing w:after="0" w:line="259" w:lineRule="auto"/>
              <w:jc w:val="both"/>
              <w:rPr>
                <w:rFonts w:cs="Calibri"/>
              </w:rPr>
            </w:pPr>
          </w:p>
          <w:p w14:paraId="521C87ED" w14:textId="77777777" w:rsidR="00D61DCD" w:rsidRPr="007B0CFA" w:rsidRDefault="00D61DCD" w:rsidP="00D61DCD">
            <w:pPr>
              <w:spacing w:after="0" w:line="259" w:lineRule="auto"/>
              <w:jc w:val="both"/>
              <w:rPr>
                <w:rFonts w:cs="Calibri"/>
              </w:rPr>
            </w:pPr>
            <w:r w:rsidRPr="007B0CFA">
              <w:rPr>
                <w:rFonts w:cs="Calibri"/>
              </w:rPr>
              <w:t>APPROVED AS TO FORM:</w:t>
            </w:r>
          </w:p>
          <w:p w14:paraId="2B977E25" w14:textId="77777777" w:rsidR="00D61DCD" w:rsidRPr="007B0CFA" w:rsidRDefault="00D61DCD" w:rsidP="00D61DCD">
            <w:pPr>
              <w:spacing w:after="0" w:line="259" w:lineRule="auto"/>
              <w:jc w:val="both"/>
              <w:rPr>
                <w:rFonts w:cs="Calibri"/>
              </w:rPr>
            </w:pPr>
            <w:r w:rsidRPr="007B0CFA">
              <w:rPr>
                <w:rFonts w:cs="Calibri"/>
              </w:rPr>
              <w:t xml:space="preserve">Jonathan Meyer, Prosecuting Attorney   </w:t>
            </w:r>
          </w:p>
        </w:tc>
        <w:tc>
          <w:tcPr>
            <w:tcW w:w="360" w:type="dxa"/>
          </w:tcPr>
          <w:p w14:paraId="6DCF0C42" w14:textId="77777777" w:rsidR="00D61DCD" w:rsidRPr="007B0CFA" w:rsidRDefault="00D61DCD" w:rsidP="00D61DCD">
            <w:pPr>
              <w:spacing w:after="0" w:line="259" w:lineRule="auto"/>
              <w:jc w:val="both"/>
              <w:rPr>
                <w:rFonts w:cs="Calibri"/>
              </w:rPr>
            </w:pPr>
          </w:p>
        </w:tc>
        <w:tc>
          <w:tcPr>
            <w:tcW w:w="4608" w:type="dxa"/>
          </w:tcPr>
          <w:p w14:paraId="3B16305F" w14:textId="77777777" w:rsidR="00D61DCD" w:rsidRPr="007B0CFA" w:rsidRDefault="00D61DCD" w:rsidP="00D61DCD">
            <w:pPr>
              <w:spacing w:after="0" w:line="259" w:lineRule="auto"/>
              <w:jc w:val="both"/>
              <w:rPr>
                <w:rFonts w:cs="Calibri"/>
              </w:rPr>
            </w:pPr>
          </w:p>
          <w:p w14:paraId="5D4A71AB" w14:textId="77777777" w:rsidR="00D61DCD" w:rsidRPr="007B0CFA" w:rsidRDefault="00D61DCD" w:rsidP="00D61DCD">
            <w:pPr>
              <w:spacing w:after="0" w:line="259" w:lineRule="auto"/>
              <w:jc w:val="both"/>
              <w:rPr>
                <w:rFonts w:cs="Calibri"/>
              </w:rPr>
            </w:pPr>
            <w:r w:rsidRPr="007B0CFA">
              <w:rPr>
                <w:rFonts w:cs="Calibri"/>
              </w:rPr>
              <w:t>BOARD OF COUNTY COMMISSIONERS</w:t>
            </w:r>
          </w:p>
          <w:p w14:paraId="0BF7A011" w14:textId="77777777" w:rsidR="00D61DCD" w:rsidRPr="007B0CFA" w:rsidRDefault="00D61DCD" w:rsidP="00D61DCD">
            <w:pPr>
              <w:spacing w:after="0" w:line="259" w:lineRule="auto"/>
              <w:jc w:val="both"/>
              <w:rPr>
                <w:rFonts w:cs="Calibri"/>
              </w:rPr>
            </w:pPr>
            <w:r w:rsidRPr="007B0CFA">
              <w:rPr>
                <w:rFonts w:cs="Calibri"/>
              </w:rPr>
              <w:t>LEWIS COUNTY, WASHINGTON</w:t>
            </w:r>
          </w:p>
        </w:tc>
      </w:tr>
      <w:tr w:rsidR="00D61DCD" w:rsidRPr="007B0CFA" w14:paraId="2A9C8A04" w14:textId="77777777" w:rsidTr="00A654A3">
        <w:trPr>
          <w:trHeight w:val="593"/>
        </w:trPr>
        <w:tc>
          <w:tcPr>
            <w:tcW w:w="4608" w:type="dxa"/>
            <w:tcBorders>
              <w:bottom w:val="single" w:sz="4" w:space="0" w:color="auto"/>
            </w:tcBorders>
          </w:tcPr>
          <w:p w14:paraId="477FB365" w14:textId="77777777" w:rsidR="00D61DCD" w:rsidRPr="007B0CFA" w:rsidRDefault="00D61DCD" w:rsidP="00D61DCD">
            <w:pPr>
              <w:spacing w:after="0" w:line="259" w:lineRule="auto"/>
              <w:jc w:val="both"/>
              <w:rPr>
                <w:rFonts w:cs="Calibri"/>
              </w:rPr>
            </w:pPr>
          </w:p>
          <w:p w14:paraId="09120256" w14:textId="77777777" w:rsidR="00D61DCD" w:rsidRPr="007B0CFA" w:rsidRDefault="00D61DCD" w:rsidP="00D61DCD">
            <w:pPr>
              <w:spacing w:after="0" w:line="259" w:lineRule="auto"/>
              <w:jc w:val="both"/>
              <w:rPr>
                <w:rFonts w:cs="Calibri"/>
              </w:rPr>
            </w:pPr>
          </w:p>
        </w:tc>
        <w:tc>
          <w:tcPr>
            <w:tcW w:w="360" w:type="dxa"/>
          </w:tcPr>
          <w:p w14:paraId="12F04C26" w14:textId="77777777" w:rsidR="00D61DCD" w:rsidRPr="007B0CFA" w:rsidRDefault="00D61DCD" w:rsidP="00D61DCD">
            <w:pPr>
              <w:spacing w:after="0" w:line="259" w:lineRule="auto"/>
              <w:jc w:val="both"/>
              <w:rPr>
                <w:rFonts w:cs="Calibri"/>
              </w:rPr>
            </w:pPr>
          </w:p>
        </w:tc>
        <w:tc>
          <w:tcPr>
            <w:tcW w:w="4608" w:type="dxa"/>
            <w:tcBorders>
              <w:bottom w:val="single" w:sz="4" w:space="0" w:color="auto"/>
            </w:tcBorders>
          </w:tcPr>
          <w:p w14:paraId="27A61C68" w14:textId="77777777" w:rsidR="00D61DCD" w:rsidRPr="007B0CFA" w:rsidRDefault="00D61DCD" w:rsidP="00D61DCD">
            <w:pPr>
              <w:spacing w:after="0" w:line="259" w:lineRule="auto"/>
              <w:jc w:val="both"/>
              <w:rPr>
                <w:rFonts w:cs="Calibri"/>
              </w:rPr>
            </w:pPr>
          </w:p>
        </w:tc>
      </w:tr>
      <w:tr w:rsidR="00D61DCD" w:rsidRPr="007B0CFA" w14:paraId="0BEB5C85" w14:textId="77777777" w:rsidTr="00A654A3">
        <w:trPr>
          <w:trHeight w:val="720"/>
        </w:trPr>
        <w:tc>
          <w:tcPr>
            <w:tcW w:w="4608" w:type="dxa"/>
            <w:tcBorders>
              <w:top w:val="single" w:sz="4" w:space="0" w:color="auto"/>
            </w:tcBorders>
          </w:tcPr>
          <w:p w14:paraId="526772D3" w14:textId="77777777" w:rsidR="00D61DCD" w:rsidRPr="007B0CFA" w:rsidRDefault="00D61DCD" w:rsidP="00D61DCD">
            <w:pPr>
              <w:spacing w:after="0" w:line="259" w:lineRule="auto"/>
              <w:rPr>
                <w:rFonts w:cs="Calibri"/>
              </w:rPr>
            </w:pPr>
            <w:r w:rsidRPr="007B0CFA">
              <w:rPr>
                <w:rFonts w:cs="Calibri"/>
              </w:rPr>
              <w:lastRenderedPageBreak/>
              <w:t>By: Civil Deputy Prosecuting Attorney</w:t>
            </w:r>
          </w:p>
          <w:p w14:paraId="65ACEB68" w14:textId="77777777" w:rsidR="00D61DCD" w:rsidRPr="007B0CFA" w:rsidRDefault="00D61DCD" w:rsidP="00D61DCD">
            <w:pPr>
              <w:spacing w:after="0" w:line="259" w:lineRule="auto"/>
              <w:jc w:val="both"/>
              <w:rPr>
                <w:rFonts w:cs="Calibri"/>
              </w:rPr>
            </w:pPr>
          </w:p>
        </w:tc>
        <w:tc>
          <w:tcPr>
            <w:tcW w:w="360" w:type="dxa"/>
          </w:tcPr>
          <w:p w14:paraId="35CFDE0E" w14:textId="77777777" w:rsidR="00D61DCD" w:rsidRPr="007B0CFA" w:rsidRDefault="00D61DCD" w:rsidP="00D61DCD">
            <w:pPr>
              <w:spacing w:after="0" w:line="259" w:lineRule="auto"/>
              <w:jc w:val="both"/>
              <w:rPr>
                <w:rFonts w:cs="Calibri"/>
              </w:rPr>
            </w:pPr>
          </w:p>
        </w:tc>
        <w:tc>
          <w:tcPr>
            <w:tcW w:w="4608" w:type="dxa"/>
            <w:tcBorders>
              <w:top w:val="single" w:sz="4" w:space="0" w:color="auto"/>
            </w:tcBorders>
          </w:tcPr>
          <w:p w14:paraId="0286A0CC" w14:textId="77777777" w:rsidR="00D61DCD" w:rsidRPr="007B0CFA" w:rsidRDefault="00D61DCD" w:rsidP="00D61DCD">
            <w:pPr>
              <w:spacing w:after="0" w:line="259" w:lineRule="auto"/>
              <w:jc w:val="both"/>
              <w:rPr>
                <w:rFonts w:cs="Calibri"/>
              </w:rPr>
            </w:pPr>
            <w:r>
              <w:rPr>
                <w:rFonts w:cs="Calibri"/>
              </w:rPr>
              <w:t xml:space="preserve">Scott J. Brummer, </w:t>
            </w:r>
            <w:r w:rsidRPr="007B0CFA">
              <w:rPr>
                <w:rFonts w:cs="Calibri"/>
              </w:rPr>
              <w:t xml:space="preserve">Vice Chair </w:t>
            </w:r>
          </w:p>
          <w:p w14:paraId="01D36032" w14:textId="77777777" w:rsidR="00D61DCD" w:rsidRPr="007B0CFA" w:rsidRDefault="00D61DCD" w:rsidP="00D61DCD">
            <w:pPr>
              <w:spacing w:after="0" w:line="259" w:lineRule="auto"/>
              <w:jc w:val="both"/>
              <w:rPr>
                <w:rFonts w:cs="Calibri"/>
              </w:rPr>
            </w:pPr>
          </w:p>
          <w:p w14:paraId="251E067B" w14:textId="77777777" w:rsidR="00D61DCD" w:rsidRPr="007B0CFA" w:rsidRDefault="00D61DCD" w:rsidP="00D61DCD">
            <w:pPr>
              <w:spacing w:after="0" w:line="259" w:lineRule="auto"/>
              <w:jc w:val="both"/>
              <w:rPr>
                <w:rFonts w:cs="Calibri"/>
              </w:rPr>
            </w:pPr>
          </w:p>
        </w:tc>
      </w:tr>
      <w:tr w:rsidR="00D61DCD" w:rsidRPr="007B0CFA" w14:paraId="56F3B28E" w14:textId="77777777" w:rsidTr="00A654A3">
        <w:trPr>
          <w:trHeight w:val="242"/>
        </w:trPr>
        <w:tc>
          <w:tcPr>
            <w:tcW w:w="4608" w:type="dxa"/>
          </w:tcPr>
          <w:p w14:paraId="5F492338" w14:textId="77777777" w:rsidR="00D61DCD" w:rsidRPr="007B0CFA" w:rsidRDefault="00D61DCD" w:rsidP="00D61DCD">
            <w:pPr>
              <w:spacing w:after="0" w:line="259" w:lineRule="auto"/>
              <w:jc w:val="both"/>
              <w:rPr>
                <w:rFonts w:cs="Calibri"/>
              </w:rPr>
            </w:pPr>
            <w:r w:rsidRPr="007B0CFA">
              <w:rPr>
                <w:rFonts w:cs="Calibri"/>
              </w:rPr>
              <w:t xml:space="preserve">ATTEST: </w:t>
            </w:r>
          </w:p>
        </w:tc>
        <w:tc>
          <w:tcPr>
            <w:tcW w:w="360" w:type="dxa"/>
          </w:tcPr>
          <w:p w14:paraId="13D9116F" w14:textId="77777777" w:rsidR="00D61DCD" w:rsidRPr="007B0CFA" w:rsidRDefault="00D61DCD" w:rsidP="00D61DCD">
            <w:pPr>
              <w:spacing w:after="0" w:line="259" w:lineRule="auto"/>
              <w:jc w:val="both"/>
              <w:rPr>
                <w:rFonts w:cs="Calibri"/>
              </w:rPr>
            </w:pPr>
          </w:p>
        </w:tc>
        <w:tc>
          <w:tcPr>
            <w:tcW w:w="4608" w:type="dxa"/>
            <w:tcBorders>
              <w:top w:val="single" w:sz="4" w:space="0" w:color="auto"/>
            </w:tcBorders>
          </w:tcPr>
          <w:p w14:paraId="097E8CFE" w14:textId="77777777" w:rsidR="00D61DCD" w:rsidRPr="007B0CFA" w:rsidRDefault="00D61DCD" w:rsidP="00D61DCD">
            <w:pPr>
              <w:spacing w:after="0" w:line="259" w:lineRule="auto"/>
              <w:jc w:val="both"/>
              <w:rPr>
                <w:rFonts w:cs="Calibri"/>
              </w:rPr>
            </w:pPr>
            <w:r w:rsidRPr="007B0CFA">
              <w:rPr>
                <w:rFonts w:cs="Calibri"/>
              </w:rPr>
              <w:t>L</w:t>
            </w:r>
            <w:r>
              <w:rPr>
                <w:rFonts w:cs="Calibri"/>
              </w:rPr>
              <w:t>i</w:t>
            </w:r>
            <w:r w:rsidRPr="007B0CFA">
              <w:rPr>
                <w:rFonts w:cs="Calibri"/>
              </w:rPr>
              <w:t>ndsey R. Pollock, DVM, Commissioner</w:t>
            </w:r>
          </w:p>
        </w:tc>
      </w:tr>
      <w:tr w:rsidR="00D61DCD" w:rsidRPr="007B0CFA" w14:paraId="16FB7346" w14:textId="77777777" w:rsidTr="00A654A3">
        <w:tc>
          <w:tcPr>
            <w:tcW w:w="4608" w:type="dxa"/>
            <w:tcBorders>
              <w:bottom w:val="single" w:sz="4" w:space="0" w:color="auto"/>
            </w:tcBorders>
          </w:tcPr>
          <w:p w14:paraId="5E15D9F6" w14:textId="77777777" w:rsidR="00D61DCD" w:rsidRPr="007B0CFA" w:rsidRDefault="00D61DCD" w:rsidP="00D61DCD">
            <w:pPr>
              <w:spacing w:after="0" w:line="259" w:lineRule="auto"/>
              <w:jc w:val="both"/>
              <w:rPr>
                <w:rFonts w:cs="Calibri"/>
              </w:rPr>
            </w:pPr>
          </w:p>
          <w:p w14:paraId="07578D2F" w14:textId="77777777" w:rsidR="00D61DCD" w:rsidRPr="007B0CFA" w:rsidRDefault="00D61DCD" w:rsidP="00D61DCD">
            <w:pPr>
              <w:spacing w:after="0" w:line="259" w:lineRule="auto"/>
              <w:jc w:val="both"/>
              <w:rPr>
                <w:rFonts w:cs="Calibri"/>
              </w:rPr>
            </w:pPr>
          </w:p>
        </w:tc>
        <w:tc>
          <w:tcPr>
            <w:tcW w:w="360" w:type="dxa"/>
          </w:tcPr>
          <w:p w14:paraId="44CFFD3F" w14:textId="77777777" w:rsidR="00D61DCD" w:rsidRPr="007B0CFA" w:rsidRDefault="00D61DCD" w:rsidP="00D61DCD">
            <w:pPr>
              <w:spacing w:after="0" w:line="259" w:lineRule="auto"/>
              <w:jc w:val="both"/>
              <w:rPr>
                <w:rFonts w:cs="Calibri"/>
              </w:rPr>
            </w:pPr>
          </w:p>
        </w:tc>
        <w:tc>
          <w:tcPr>
            <w:tcW w:w="4608" w:type="dxa"/>
            <w:tcBorders>
              <w:bottom w:val="single" w:sz="4" w:space="0" w:color="auto"/>
            </w:tcBorders>
          </w:tcPr>
          <w:p w14:paraId="7A332410" w14:textId="77777777" w:rsidR="00D61DCD" w:rsidRPr="007B0CFA" w:rsidRDefault="00D61DCD" w:rsidP="00D61DCD">
            <w:pPr>
              <w:spacing w:after="0" w:line="259" w:lineRule="auto"/>
              <w:jc w:val="both"/>
              <w:rPr>
                <w:rFonts w:cs="Calibri"/>
              </w:rPr>
            </w:pPr>
          </w:p>
        </w:tc>
      </w:tr>
      <w:tr w:rsidR="00D61DCD" w:rsidRPr="003918A1" w14:paraId="62FB20F4" w14:textId="77777777" w:rsidTr="00A654A3">
        <w:trPr>
          <w:trHeight w:val="197"/>
        </w:trPr>
        <w:tc>
          <w:tcPr>
            <w:tcW w:w="4608" w:type="dxa"/>
            <w:tcBorders>
              <w:top w:val="single" w:sz="4" w:space="0" w:color="auto"/>
            </w:tcBorders>
          </w:tcPr>
          <w:p w14:paraId="478208D7" w14:textId="77777777" w:rsidR="00D61DCD" w:rsidRPr="007B0CFA" w:rsidRDefault="00D61DCD" w:rsidP="00D61DCD">
            <w:pPr>
              <w:spacing w:after="0" w:line="259" w:lineRule="auto"/>
              <w:jc w:val="both"/>
              <w:rPr>
                <w:rFonts w:cs="Calibri"/>
              </w:rPr>
            </w:pPr>
            <w:r w:rsidRPr="007B0CFA">
              <w:rPr>
                <w:rFonts w:cs="Calibri"/>
              </w:rPr>
              <w:t>Rieva Lester, Clerk of the Board</w:t>
            </w:r>
          </w:p>
        </w:tc>
        <w:tc>
          <w:tcPr>
            <w:tcW w:w="360" w:type="dxa"/>
          </w:tcPr>
          <w:p w14:paraId="6299F3B9" w14:textId="77777777" w:rsidR="00D61DCD" w:rsidRPr="007B0CFA" w:rsidRDefault="00D61DCD" w:rsidP="00D61DCD">
            <w:pPr>
              <w:spacing w:after="0" w:line="259" w:lineRule="auto"/>
              <w:ind w:hanging="90"/>
              <w:jc w:val="both"/>
              <w:rPr>
                <w:rFonts w:cs="Calibri"/>
              </w:rPr>
            </w:pPr>
          </w:p>
        </w:tc>
        <w:tc>
          <w:tcPr>
            <w:tcW w:w="4608" w:type="dxa"/>
            <w:tcBorders>
              <w:top w:val="single" w:sz="4" w:space="0" w:color="auto"/>
            </w:tcBorders>
          </w:tcPr>
          <w:p w14:paraId="4727F552" w14:textId="77777777" w:rsidR="00D61DCD" w:rsidRPr="0004063D" w:rsidRDefault="00D61DCD" w:rsidP="00D61DCD">
            <w:pPr>
              <w:spacing w:after="0" w:line="259" w:lineRule="auto"/>
              <w:ind w:hanging="90"/>
              <w:jc w:val="both"/>
              <w:rPr>
                <w:rFonts w:cs="Calibri"/>
              </w:rPr>
            </w:pPr>
            <w:r w:rsidRPr="007B0CFA">
              <w:rPr>
                <w:rFonts w:cs="Calibri"/>
              </w:rPr>
              <w:t xml:space="preserve"> Sean </w:t>
            </w:r>
            <w:r>
              <w:rPr>
                <w:rFonts w:cs="Calibri"/>
              </w:rPr>
              <w:t xml:space="preserve">D. </w:t>
            </w:r>
            <w:r w:rsidRPr="007B0CFA">
              <w:rPr>
                <w:rFonts w:cs="Calibri"/>
              </w:rPr>
              <w:t>Swope</w:t>
            </w:r>
          </w:p>
        </w:tc>
      </w:tr>
    </w:tbl>
    <w:p w14:paraId="5B412B01" w14:textId="77777777" w:rsidR="00D61DCD" w:rsidRDefault="00D61DCD" w:rsidP="00D61DCD">
      <w:pPr>
        <w:spacing w:after="0" w:line="259" w:lineRule="auto"/>
        <w:rPr>
          <w:rFonts w:cstheme="minorHAnsi"/>
        </w:rPr>
      </w:pPr>
    </w:p>
    <w:sectPr w:rsidR="00D61D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7899" w14:textId="77777777" w:rsidR="00AA7BD0" w:rsidRDefault="00AA7BD0" w:rsidP="00AA7BD0">
      <w:pPr>
        <w:spacing w:after="0" w:line="240" w:lineRule="auto"/>
      </w:pPr>
      <w:r>
        <w:separator/>
      </w:r>
    </w:p>
  </w:endnote>
  <w:endnote w:type="continuationSeparator" w:id="0">
    <w:p w14:paraId="45643CCD" w14:textId="77777777" w:rsidR="00AA7BD0" w:rsidRDefault="00AA7BD0" w:rsidP="00AA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2F6" w14:textId="77777777" w:rsidR="00AA7BD0" w:rsidRDefault="00AA7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71F9" w14:textId="77777777" w:rsidR="00AA7BD0" w:rsidRDefault="00AA7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6E37" w14:textId="77777777" w:rsidR="00AA7BD0" w:rsidRDefault="00AA7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AAFC" w14:textId="77777777" w:rsidR="00AA7BD0" w:rsidRDefault="00AA7BD0" w:rsidP="00AA7BD0">
      <w:pPr>
        <w:spacing w:after="0" w:line="240" w:lineRule="auto"/>
      </w:pPr>
      <w:r>
        <w:separator/>
      </w:r>
    </w:p>
  </w:footnote>
  <w:footnote w:type="continuationSeparator" w:id="0">
    <w:p w14:paraId="348C98FA" w14:textId="77777777" w:rsidR="00AA7BD0" w:rsidRDefault="00AA7BD0" w:rsidP="00AA7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F4CB" w14:textId="77777777" w:rsidR="00AA7BD0" w:rsidRDefault="00AA7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F53E" w14:textId="143574EB" w:rsidR="00AA7BD0" w:rsidRDefault="00AA7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2B50" w14:textId="77777777" w:rsidR="00AA7BD0" w:rsidRDefault="00AA7B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55"/>
    <w:rsid w:val="000351A5"/>
    <w:rsid w:val="0025139F"/>
    <w:rsid w:val="0025228F"/>
    <w:rsid w:val="002846AF"/>
    <w:rsid w:val="002E3D55"/>
    <w:rsid w:val="005474B1"/>
    <w:rsid w:val="00624070"/>
    <w:rsid w:val="00707AA0"/>
    <w:rsid w:val="007A3921"/>
    <w:rsid w:val="007A7D68"/>
    <w:rsid w:val="0082543D"/>
    <w:rsid w:val="00885186"/>
    <w:rsid w:val="009946C6"/>
    <w:rsid w:val="009B5E0E"/>
    <w:rsid w:val="00AA7BD0"/>
    <w:rsid w:val="00B02252"/>
    <w:rsid w:val="00B82ACD"/>
    <w:rsid w:val="00BB014E"/>
    <w:rsid w:val="00D61DCD"/>
    <w:rsid w:val="00EA1955"/>
    <w:rsid w:val="00EA760F"/>
    <w:rsid w:val="00F129A1"/>
    <w:rsid w:val="00FA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009061"/>
  <w15:chartTrackingRefBased/>
  <w15:docId w15:val="{E61983B0-02E3-45F6-818D-0BD2499B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BD0"/>
    <w:pPr>
      <w:spacing w:after="200" w:line="276" w:lineRule="auto"/>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2E3D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3D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3D55"/>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3D55"/>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3D55"/>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3D5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3D5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3D5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3D5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D5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D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3D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3D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3D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3D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3D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3D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3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D5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3D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3D55"/>
    <w:pPr>
      <w:spacing w:before="160" w:after="160" w:line="259" w:lineRule="auto"/>
      <w:jc w:val="center"/>
    </w:pPr>
    <w:rPr>
      <w:rFonts w:ascii="Segoe UI" w:hAnsi="Segoe UI" w:cs="Segoe UI"/>
      <w:i/>
      <w:iCs/>
      <w:color w:val="404040" w:themeColor="text1" w:themeTint="BF"/>
      <w:kern w:val="2"/>
      <w14:ligatures w14:val="standardContextual"/>
    </w:rPr>
  </w:style>
  <w:style w:type="character" w:customStyle="1" w:styleId="QuoteChar">
    <w:name w:val="Quote Char"/>
    <w:basedOn w:val="DefaultParagraphFont"/>
    <w:link w:val="Quote"/>
    <w:uiPriority w:val="29"/>
    <w:rsid w:val="002E3D55"/>
    <w:rPr>
      <w:i/>
      <w:iCs/>
      <w:color w:val="404040" w:themeColor="text1" w:themeTint="BF"/>
    </w:rPr>
  </w:style>
  <w:style w:type="paragraph" w:styleId="ListParagraph">
    <w:name w:val="List Paragraph"/>
    <w:basedOn w:val="Normal"/>
    <w:uiPriority w:val="34"/>
    <w:qFormat/>
    <w:rsid w:val="002E3D55"/>
    <w:pPr>
      <w:spacing w:after="0" w:line="259" w:lineRule="auto"/>
      <w:ind w:left="720"/>
      <w:contextualSpacing/>
    </w:pPr>
    <w:rPr>
      <w:rFonts w:ascii="Segoe UI" w:hAnsi="Segoe UI" w:cs="Segoe UI"/>
      <w:kern w:val="2"/>
      <w14:ligatures w14:val="standardContextual"/>
    </w:rPr>
  </w:style>
  <w:style w:type="character" w:styleId="IntenseEmphasis">
    <w:name w:val="Intense Emphasis"/>
    <w:basedOn w:val="DefaultParagraphFont"/>
    <w:uiPriority w:val="21"/>
    <w:qFormat/>
    <w:rsid w:val="002E3D55"/>
    <w:rPr>
      <w:i/>
      <w:iCs/>
      <w:color w:val="0F4761" w:themeColor="accent1" w:themeShade="BF"/>
    </w:rPr>
  </w:style>
  <w:style w:type="paragraph" w:styleId="IntenseQuote">
    <w:name w:val="Intense Quote"/>
    <w:basedOn w:val="Normal"/>
    <w:next w:val="Normal"/>
    <w:link w:val="IntenseQuoteChar"/>
    <w:uiPriority w:val="30"/>
    <w:qFormat/>
    <w:rsid w:val="002E3D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Segoe UI" w:hAnsi="Segoe UI" w:cs="Segoe U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3D55"/>
    <w:rPr>
      <w:i/>
      <w:iCs/>
      <w:color w:val="0F4761" w:themeColor="accent1" w:themeShade="BF"/>
    </w:rPr>
  </w:style>
  <w:style w:type="character" w:styleId="IntenseReference">
    <w:name w:val="Intense Reference"/>
    <w:basedOn w:val="DefaultParagraphFont"/>
    <w:uiPriority w:val="32"/>
    <w:qFormat/>
    <w:rsid w:val="002E3D55"/>
    <w:rPr>
      <w:b/>
      <w:bCs/>
      <w:smallCaps/>
      <w:color w:val="0F4761" w:themeColor="accent1" w:themeShade="BF"/>
      <w:spacing w:val="5"/>
    </w:rPr>
  </w:style>
  <w:style w:type="table" w:styleId="TableGrid">
    <w:name w:val="Table Grid"/>
    <w:basedOn w:val="TableNormal"/>
    <w:uiPriority w:val="39"/>
    <w:rsid w:val="00AA7BD0"/>
    <w:pPr>
      <w:spacing w:line="240" w:lineRule="auto"/>
    </w:pPr>
    <w:rPr>
      <w:rFonts w:ascii="Century Gothic" w:hAnsi="Century Gothic" w:cstheme="minorBid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D0"/>
    <w:rPr>
      <w:rFonts w:asciiTheme="minorHAnsi" w:hAnsiTheme="minorHAnsi" w:cstheme="minorBidi"/>
      <w:kern w:val="0"/>
      <w14:ligatures w14:val="none"/>
    </w:rPr>
  </w:style>
  <w:style w:type="paragraph" w:styleId="Footer">
    <w:name w:val="footer"/>
    <w:basedOn w:val="Normal"/>
    <w:link w:val="FooterChar"/>
    <w:uiPriority w:val="99"/>
    <w:unhideWhenUsed/>
    <w:rsid w:val="00AA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D0"/>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12</cp:revision>
  <dcterms:created xsi:type="dcterms:W3CDTF">2025-09-05T15:19:00Z</dcterms:created>
  <dcterms:modified xsi:type="dcterms:W3CDTF">2025-10-16T22:19:00Z</dcterms:modified>
</cp:coreProperties>
</file>