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442F0C54"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 xml:space="preserve">Adopt </w:t>
            </w:r>
            <w:r w:rsidR="009478AE">
              <w:rPr>
                <w:rFonts w:asciiTheme="minorHAnsi" w:hAnsiTheme="minorHAnsi" w:cstheme="minorHAnsi"/>
                <w:b/>
                <w:bCs/>
                <w:sz w:val="22"/>
                <w:szCs w:val="20"/>
              </w:rPr>
              <w:t>Volumes 1, 2, 3 and 5 of the Lewis County Comprehensive Plan Periodic Update</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1E19F140"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5957F7">
              <w:rPr>
                <w:rFonts w:asciiTheme="minorHAnsi" w:hAnsiTheme="minorHAnsi" w:cstheme="minorHAnsi"/>
                <w:b/>
                <w:bCs/>
                <w:sz w:val="22"/>
                <w:szCs w:val="20"/>
              </w:rPr>
              <w:t>1367</w:t>
            </w:r>
          </w:p>
        </w:tc>
      </w:tr>
    </w:tbl>
    <w:p w14:paraId="551915B9" w14:textId="77777777" w:rsidR="00117F98" w:rsidRDefault="00117F98"/>
    <w:p w14:paraId="01C48006" w14:textId="4E4DD2CB"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RCW 36.</w:t>
      </w:r>
      <w:r w:rsidR="00EB6E76" w:rsidRPr="000D14A9">
        <w:rPr>
          <w:rFonts w:asciiTheme="minorHAnsi" w:hAnsiTheme="minorHAnsi" w:cstheme="minorHAnsi"/>
        </w:rPr>
        <w:t>70A.040 requires Lewis County to plan under and in accordance with the Growth Management Act</w:t>
      </w:r>
      <w:r w:rsidR="00EB6E76">
        <w:rPr>
          <w:rFonts w:asciiTheme="minorHAnsi" w:hAnsiTheme="minorHAnsi" w:cstheme="minorHAnsi"/>
        </w:rPr>
        <w:t xml:space="preserve">; and </w:t>
      </w:r>
    </w:p>
    <w:p w14:paraId="6A700F8A" w14:textId="77777777" w:rsidR="00DD3F53" w:rsidRDefault="00DD3F53" w:rsidP="002528E6">
      <w:pPr>
        <w:rPr>
          <w:rFonts w:asciiTheme="minorHAnsi" w:hAnsiTheme="minorHAnsi" w:cstheme="minorHAnsi"/>
          <w:b/>
        </w:rPr>
      </w:pPr>
    </w:p>
    <w:p w14:paraId="6811052A" w14:textId="55DE692A" w:rsidR="002528E6" w:rsidRPr="00117F98" w:rsidRDefault="002528E6" w:rsidP="002528E6">
      <w:pPr>
        <w:rPr>
          <w:rFonts w:asciiTheme="minorHAnsi" w:hAnsiTheme="minorHAnsi" w:cstheme="minorHAnsi"/>
        </w:rPr>
      </w:pPr>
      <w:r w:rsidRPr="00117F98">
        <w:rPr>
          <w:rFonts w:asciiTheme="minorHAnsi" w:hAnsiTheme="minorHAnsi" w:cstheme="minorHAnsi"/>
          <w:b/>
        </w:rPr>
        <w:t>WHEREAS,</w:t>
      </w:r>
      <w:r w:rsidR="00EB6E76">
        <w:rPr>
          <w:rFonts w:asciiTheme="minorHAnsi" w:hAnsiTheme="minorHAnsi" w:cstheme="minorHAnsi"/>
          <w:b/>
        </w:rPr>
        <w:t xml:space="preserve"> </w:t>
      </w:r>
      <w:r w:rsidRPr="00117F98">
        <w:rPr>
          <w:rFonts w:asciiTheme="minorHAnsi" w:hAnsiTheme="minorHAnsi" w:cstheme="minorHAnsi"/>
          <w:b/>
        </w:rPr>
        <w:t xml:space="preserve"> </w:t>
      </w:r>
      <w:r w:rsidR="00EB6E76" w:rsidRPr="00EB6E76">
        <w:rPr>
          <w:rFonts w:asciiTheme="minorHAnsi" w:hAnsiTheme="minorHAnsi" w:cstheme="minorHAnsi"/>
          <w:bCs/>
        </w:rPr>
        <w:t xml:space="preserve">Lewis County adopted </w:t>
      </w:r>
      <w:r w:rsidR="00EB6E76">
        <w:rPr>
          <w:rFonts w:asciiTheme="minorHAnsi" w:hAnsiTheme="minorHAnsi" w:cstheme="minorHAnsi"/>
          <w:bCs/>
        </w:rPr>
        <w:t>the Comprehensive Plan and implementing ordinances on June 1, 1999; and</w:t>
      </w:r>
    </w:p>
    <w:p w14:paraId="6FFFF98A" w14:textId="77777777" w:rsidR="002528E6" w:rsidRPr="00117F98" w:rsidRDefault="002528E6" w:rsidP="002528E6">
      <w:pPr>
        <w:rPr>
          <w:rFonts w:asciiTheme="minorHAnsi" w:hAnsiTheme="minorHAnsi" w:cstheme="minorHAnsi"/>
        </w:rPr>
      </w:pPr>
    </w:p>
    <w:p w14:paraId="4A1528CE" w14:textId="3C24FA0F"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EB6E76" w:rsidRPr="00EB6E76">
        <w:rPr>
          <w:rFonts w:asciiTheme="minorHAnsi" w:hAnsiTheme="minorHAnsi" w:cstheme="minorHAnsi"/>
          <w:bCs/>
        </w:rPr>
        <w:t>Lewis County is required to conduct periodic updates</w:t>
      </w:r>
      <w:r w:rsidR="00EB6E76">
        <w:rPr>
          <w:rFonts w:asciiTheme="minorHAnsi" w:hAnsiTheme="minorHAnsi" w:cstheme="minorHAnsi"/>
          <w:bCs/>
        </w:rPr>
        <w:t xml:space="preserve"> of</w:t>
      </w:r>
      <w:r w:rsidR="00EB6E76" w:rsidRPr="00EB6E76">
        <w:rPr>
          <w:rFonts w:asciiTheme="minorHAnsi" w:hAnsiTheme="minorHAnsi" w:cstheme="minorHAnsi"/>
          <w:bCs/>
        </w:rPr>
        <w:t xml:space="preserve"> the Comprehensive Plan and implementing ordinances </w:t>
      </w:r>
      <w:r w:rsidR="00EB6E76">
        <w:rPr>
          <w:rFonts w:asciiTheme="minorHAnsi" w:hAnsiTheme="minorHAnsi" w:cstheme="minorHAnsi"/>
          <w:bCs/>
        </w:rPr>
        <w:t>to address projected population growth and changes in state laws since the prior periodic update</w:t>
      </w:r>
      <w:r w:rsidR="00EB6E76" w:rsidRPr="00EB6E76">
        <w:rPr>
          <w:rFonts w:asciiTheme="minorHAnsi" w:hAnsiTheme="minorHAnsi" w:cstheme="minorHAnsi"/>
          <w:bCs/>
        </w:rPr>
        <w:t xml:space="preserve">; and  </w:t>
      </w:r>
    </w:p>
    <w:p w14:paraId="28CB427A" w14:textId="77777777" w:rsidR="0039173F" w:rsidRDefault="0039173F" w:rsidP="002528E6">
      <w:pPr>
        <w:rPr>
          <w:rFonts w:asciiTheme="minorHAnsi" w:hAnsiTheme="minorHAnsi" w:cstheme="minorHAnsi"/>
        </w:rPr>
      </w:pPr>
    </w:p>
    <w:p w14:paraId="18C1FB6B" w14:textId="139AA388"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 xml:space="preserve">the previous periodic update was completed on June 25, 1018; and </w:t>
      </w:r>
    </w:p>
    <w:p w14:paraId="64D6FB14" w14:textId="77777777" w:rsidR="008A49BD" w:rsidRDefault="008A49BD" w:rsidP="00DD3F53">
      <w:pPr>
        <w:rPr>
          <w:rFonts w:asciiTheme="minorHAnsi" w:hAnsiTheme="minorHAnsi" w:cstheme="minorHAnsi"/>
        </w:rPr>
      </w:pPr>
    </w:p>
    <w:p w14:paraId="266B2BD9" w14:textId="22883DA8"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EB6E76">
        <w:rPr>
          <w:rFonts w:asciiTheme="minorHAnsi" w:hAnsiTheme="minorHAnsi" w:cstheme="minorHAnsi"/>
        </w:rPr>
        <w:t>Lewis County began the current periodic update on July 1, 2023 and is required to complete the update by December 31, 2025; and</w:t>
      </w:r>
    </w:p>
    <w:p w14:paraId="787DE7CA" w14:textId="77777777" w:rsidR="005A0F34" w:rsidRDefault="005A0F34" w:rsidP="002528E6">
      <w:pPr>
        <w:rPr>
          <w:rFonts w:asciiTheme="minorHAnsi" w:hAnsiTheme="minorHAnsi" w:cstheme="minorHAnsi"/>
        </w:rPr>
      </w:pPr>
    </w:p>
    <w:p w14:paraId="113226EC" w14:textId="70BBD285"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F73F45">
        <w:rPr>
          <w:rFonts w:asciiTheme="minorHAnsi" w:hAnsiTheme="minorHAnsi" w:cstheme="minorHAnsi"/>
          <w:bCs/>
        </w:rPr>
        <w:t>WAC 365-196-310(2)(b)</w:t>
      </w:r>
      <w:r w:rsidR="004E728E">
        <w:rPr>
          <w:rFonts w:asciiTheme="minorHAnsi" w:hAnsiTheme="minorHAnsi" w:cstheme="minorHAnsi"/>
          <w:bCs/>
        </w:rPr>
        <w:t xml:space="preserve"> states that</w:t>
      </w:r>
      <w:r w:rsidR="004E728E" w:rsidRPr="00F73F45">
        <w:rPr>
          <w:rFonts w:asciiTheme="minorHAnsi" w:hAnsiTheme="minorHAnsi" w:cstheme="minorHAnsi"/>
          <w:bCs/>
        </w:rPr>
        <w:t xml:space="preserve"> the county is responsible for choosing the 20-year growth management population projection from within the OFM range and allocating the population to each city and Urban Growth Area in the county</w:t>
      </w:r>
      <w:r w:rsidR="004E728E">
        <w:rPr>
          <w:rFonts w:asciiTheme="minorHAnsi" w:hAnsiTheme="minorHAnsi" w:cstheme="minorHAnsi"/>
          <w:bCs/>
        </w:rPr>
        <w:t xml:space="preserve">; and </w:t>
      </w:r>
    </w:p>
    <w:p w14:paraId="4C0BECFF" w14:textId="77777777" w:rsidR="005A0F34" w:rsidRDefault="005A0F34" w:rsidP="002528E6">
      <w:pPr>
        <w:rPr>
          <w:rFonts w:asciiTheme="minorHAnsi" w:hAnsiTheme="minorHAnsi" w:cstheme="minorHAnsi"/>
        </w:rPr>
      </w:pPr>
    </w:p>
    <w:p w14:paraId="06AE1E0B" w14:textId="04F3879C" w:rsidR="004E728E" w:rsidRDefault="004E728E" w:rsidP="005A0F34">
      <w:pPr>
        <w:rPr>
          <w:rFonts w:asciiTheme="minorHAnsi" w:hAnsiTheme="minorHAnsi" w:cstheme="minorHAnsi"/>
          <w:b/>
        </w:rPr>
      </w:pPr>
      <w:r>
        <w:rPr>
          <w:rFonts w:asciiTheme="minorHAnsi" w:hAnsiTheme="minorHAnsi" w:cstheme="minorHAnsi"/>
          <w:b/>
        </w:rPr>
        <w:t xml:space="preserve">WHEREAS, </w:t>
      </w:r>
      <w:r w:rsidRPr="004E728E">
        <w:rPr>
          <w:rFonts w:asciiTheme="minorHAnsi" w:hAnsiTheme="minorHAnsi" w:cstheme="minorHAnsi"/>
          <w:bCs/>
        </w:rPr>
        <w:t xml:space="preserve">Lewis County has allocated </w:t>
      </w:r>
      <w:r>
        <w:rPr>
          <w:rFonts w:asciiTheme="minorHAnsi" w:hAnsiTheme="minorHAnsi" w:cstheme="minorHAnsi"/>
          <w:bCs/>
        </w:rPr>
        <w:t>population</w:t>
      </w:r>
      <w:r w:rsidRPr="004E728E">
        <w:rPr>
          <w:rFonts w:asciiTheme="minorHAnsi" w:hAnsiTheme="minorHAnsi" w:cstheme="minorHAnsi"/>
          <w:bCs/>
        </w:rPr>
        <w:t xml:space="preserve"> as described in Volume 5 – Supporting Documents,</w:t>
      </w:r>
      <w:r>
        <w:rPr>
          <w:rFonts w:asciiTheme="minorHAnsi" w:hAnsiTheme="minorHAnsi" w:cstheme="minorHAnsi"/>
          <w:b/>
        </w:rPr>
        <w:t xml:space="preserve"> </w:t>
      </w:r>
      <w:r>
        <w:rPr>
          <w:rFonts w:asciiTheme="minorHAnsi" w:hAnsiTheme="minorHAnsi" w:cstheme="minorHAnsi"/>
        </w:rPr>
        <w:t>D. Memo Re: Commerce HAPT Model, as shown in Exhibit D; and</w:t>
      </w:r>
    </w:p>
    <w:p w14:paraId="1E2C2D9D" w14:textId="77777777" w:rsidR="004E728E" w:rsidRDefault="004E728E" w:rsidP="005A0F34">
      <w:pPr>
        <w:rPr>
          <w:rFonts w:asciiTheme="minorHAnsi" w:hAnsiTheme="minorHAnsi" w:cstheme="minorHAnsi"/>
          <w:b/>
        </w:rPr>
      </w:pPr>
    </w:p>
    <w:p w14:paraId="008FD47F" w14:textId="410C0F27"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F73F45">
        <w:rPr>
          <w:rFonts w:asciiTheme="minorHAnsi" w:hAnsiTheme="minorHAnsi" w:cstheme="minorHAnsi"/>
          <w:bCs/>
        </w:rPr>
        <w:t>RCW 36.70A.070(2)(a)</w:t>
      </w:r>
      <w:r w:rsidR="004E728E">
        <w:rPr>
          <w:rFonts w:asciiTheme="minorHAnsi" w:hAnsiTheme="minorHAnsi" w:cstheme="minorHAnsi"/>
          <w:bCs/>
        </w:rPr>
        <w:t xml:space="preserve"> requires that</w:t>
      </w:r>
      <w:r w:rsidR="004E728E" w:rsidRPr="00F73F45">
        <w:rPr>
          <w:rFonts w:asciiTheme="minorHAnsi" w:hAnsiTheme="minorHAnsi" w:cstheme="minorHAnsi"/>
          <w:bCs/>
        </w:rPr>
        <w:t xml:space="preserve"> the county and cities comprehensive plans include a 20-year projected housing need, as provided by the Department of Commerce</w:t>
      </w:r>
      <w:r w:rsidR="004E728E">
        <w:rPr>
          <w:rFonts w:asciiTheme="minorHAnsi" w:hAnsiTheme="minorHAnsi" w:cstheme="minorHAnsi"/>
          <w:bCs/>
        </w:rPr>
        <w:t xml:space="preserve">; and </w:t>
      </w:r>
    </w:p>
    <w:p w14:paraId="28D7C828" w14:textId="77777777" w:rsidR="005A0F34" w:rsidRDefault="005A0F34" w:rsidP="002528E6">
      <w:pPr>
        <w:rPr>
          <w:rFonts w:asciiTheme="minorHAnsi" w:hAnsiTheme="minorHAnsi" w:cstheme="minorHAnsi"/>
        </w:rPr>
      </w:pPr>
    </w:p>
    <w:p w14:paraId="79266CF6" w14:textId="2513C831"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4E728E" w:rsidRPr="004E728E">
        <w:rPr>
          <w:rFonts w:asciiTheme="minorHAnsi" w:hAnsiTheme="minorHAnsi" w:cstheme="minorHAnsi"/>
          <w:bCs/>
        </w:rPr>
        <w:t xml:space="preserve">Lewis County has allocated </w:t>
      </w:r>
      <w:r w:rsidR="004E728E">
        <w:rPr>
          <w:rFonts w:asciiTheme="minorHAnsi" w:hAnsiTheme="minorHAnsi" w:cstheme="minorHAnsi"/>
          <w:bCs/>
        </w:rPr>
        <w:t>housing</w:t>
      </w:r>
      <w:r w:rsidR="004E728E" w:rsidRPr="004E728E">
        <w:rPr>
          <w:rFonts w:asciiTheme="minorHAnsi" w:hAnsiTheme="minorHAnsi" w:cstheme="minorHAnsi"/>
          <w:bCs/>
        </w:rPr>
        <w:t xml:space="preserve"> as described in Volume 5 – Supporting Documents,</w:t>
      </w:r>
      <w:r w:rsidR="004E728E">
        <w:rPr>
          <w:rFonts w:asciiTheme="minorHAnsi" w:hAnsiTheme="minorHAnsi" w:cstheme="minorHAnsi"/>
          <w:b/>
        </w:rPr>
        <w:t xml:space="preserve"> </w:t>
      </w:r>
      <w:r w:rsidR="004E728E">
        <w:rPr>
          <w:rFonts w:asciiTheme="minorHAnsi" w:hAnsiTheme="minorHAnsi" w:cstheme="minorHAnsi"/>
        </w:rPr>
        <w:t>D. Memo Re: Commerce HAPT Model, as shown in Exhibit D; and</w:t>
      </w:r>
    </w:p>
    <w:p w14:paraId="5B878D13" w14:textId="77777777" w:rsidR="004E728E" w:rsidRDefault="004E728E" w:rsidP="005A0F34">
      <w:pPr>
        <w:rPr>
          <w:rFonts w:asciiTheme="minorHAnsi" w:hAnsiTheme="minorHAnsi" w:cstheme="minorHAnsi"/>
        </w:rPr>
      </w:pPr>
    </w:p>
    <w:p w14:paraId="522F1B2E" w14:textId="688C7EF9" w:rsidR="00CA5405" w:rsidRDefault="00CA5405" w:rsidP="005A0F34">
      <w:pPr>
        <w:rPr>
          <w:rFonts w:asciiTheme="minorHAnsi" w:hAnsiTheme="minorHAnsi" w:cstheme="minorHAnsi"/>
        </w:rPr>
      </w:pPr>
      <w:r>
        <w:rPr>
          <w:rFonts w:asciiTheme="minorHAnsi" w:hAnsiTheme="minorHAnsi" w:cstheme="minorHAnsi"/>
          <w:b/>
        </w:rPr>
        <w:t xml:space="preserve">WHEREAS, </w:t>
      </w:r>
      <w:r w:rsidR="004E728E">
        <w:rPr>
          <w:rFonts w:asciiTheme="minorHAnsi" w:hAnsiTheme="minorHAnsi" w:cstheme="minorHAnsi"/>
        </w:rPr>
        <w:t xml:space="preserve">RCW 36.70A.080(2) states that a </w:t>
      </w:r>
      <w:r w:rsidR="004E728E" w:rsidRPr="00F875FB">
        <w:rPr>
          <w:rFonts w:asciiTheme="minorHAnsi" w:hAnsiTheme="minorHAnsi" w:cstheme="minorHAnsi"/>
        </w:rPr>
        <w:t>comprehensive plan may include, where appropriate, subarea plans, each of which is consistent with the comprehensive plan</w:t>
      </w:r>
      <w:r w:rsidR="004E728E">
        <w:rPr>
          <w:rFonts w:asciiTheme="minorHAnsi" w:hAnsiTheme="minorHAnsi" w:cstheme="minorHAnsi"/>
        </w:rPr>
        <w:t>; and</w:t>
      </w:r>
    </w:p>
    <w:p w14:paraId="40A2FC9E" w14:textId="77777777" w:rsidR="004E728E" w:rsidRDefault="004E728E" w:rsidP="005A0F34">
      <w:pPr>
        <w:rPr>
          <w:rFonts w:asciiTheme="minorHAnsi" w:hAnsiTheme="minorHAnsi" w:cstheme="minorHAnsi"/>
        </w:rPr>
      </w:pPr>
    </w:p>
    <w:p w14:paraId="7A382A8A" w14:textId="5FF139EA" w:rsidR="004E728E" w:rsidRDefault="004E728E" w:rsidP="005A0F34">
      <w:pPr>
        <w:rPr>
          <w:rFonts w:asciiTheme="minorHAnsi" w:hAnsiTheme="minorHAnsi" w:cstheme="minorHAnsi"/>
        </w:rPr>
      </w:pPr>
      <w:r w:rsidRPr="004E728E">
        <w:rPr>
          <w:rFonts w:asciiTheme="minorHAnsi" w:hAnsiTheme="minorHAnsi" w:cstheme="minorHAnsi"/>
          <w:b/>
          <w:bCs/>
        </w:rPr>
        <w:t xml:space="preserve">WHEREAS, </w:t>
      </w:r>
      <w:r>
        <w:rPr>
          <w:rFonts w:asciiTheme="minorHAnsi" w:hAnsiTheme="minorHAnsi" w:cstheme="minorHAnsi"/>
        </w:rPr>
        <w:t>Lewis County has completed the Onalaska Subarea Plan, included in Volume 5 – Supporting Documents, E. Onalaska Subarea Plan, as shown in Exhibit D; and</w:t>
      </w:r>
    </w:p>
    <w:p w14:paraId="0A701DA5" w14:textId="77777777" w:rsidR="004E728E" w:rsidRDefault="004E728E" w:rsidP="005A0F34">
      <w:pPr>
        <w:rPr>
          <w:rFonts w:asciiTheme="minorHAnsi" w:hAnsiTheme="minorHAnsi" w:cstheme="minorHAnsi"/>
        </w:rPr>
      </w:pPr>
    </w:p>
    <w:p w14:paraId="566A65D5" w14:textId="77777777" w:rsidR="00666F3E" w:rsidRDefault="00666F3E" w:rsidP="00666F3E">
      <w:pPr>
        <w:rPr>
          <w:rFonts w:asciiTheme="minorHAnsi" w:hAnsiTheme="minorHAnsi" w:cstheme="minorHAnsi"/>
        </w:rPr>
      </w:pPr>
      <w:r w:rsidRPr="00666F3E">
        <w:rPr>
          <w:rFonts w:asciiTheme="minorHAnsi" w:hAnsiTheme="minorHAnsi" w:cstheme="minorHAnsi"/>
          <w:b/>
          <w:bCs/>
        </w:rPr>
        <w:t xml:space="preserve">WHEREAS, </w:t>
      </w:r>
      <w:r>
        <w:rPr>
          <w:rFonts w:asciiTheme="minorHAnsi" w:hAnsiTheme="minorHAnsi" w:cstheme="minorHAnsi"/>
        </w:rPr>
        <w:t xml:space="preserve">the Lewis County Planning Commission held a duly notice public hearing on the proposed draft Comprehensive Plan and zoning designations on April 8, 2025 and continued the hearing to April </w:t>
      </w:r>
      <w:r>
        <w:rPr>
          <w:rFonts w:asciiTheme="minorHAnsi" w:hAnsiTheme="minorHAnsi" w:cstheme="minorHAnsi"/>
        </w:rPr>
        <w:lastRenderedPageBreak/>
        <w:t xml:space="preserve">22, May 5 and May 13, 2025, where following close of the hearing they deliberated and made a recommendation, as shown in Exhibit E, Letter of Transmittal; and </w:t>
      </w:r>
    </w:p>
    <w:p w14:paraId="60357993" w14:textId="77777777" w:rsidR="00666F3E" w:rsidRDefault="00666F3E" w:rsidP="005A0F34">
      <w:pPr>
        <w:rPr>
          <w:rFonts w:asciiTheme="minorHAnsi" w:hAnsiTheme="minorHAnsi" w:cstheme="minorHAnsi"/>
          <w:b/>
          <w:bCs/>
        </w:rPr>
      </w:pPr>
    </w:p>
    <w:p w14:paraId="22C5DC5A" w14:textId="4AD172FF" w:rsidR="004E728E" w:rsidRDefault="004E728E" w:rsidP="005A0F34">
      <w:pPr>
        <w:rPr>
          <w:rFonts w:asciiTheme="minorHAnsi" w:hAnsiTheme="minorHAnsi" w:cstheme="minorHAnsi"/>
        </w:rPr>
      </w:pPr>
      <w:r w:rsidRPr="00666F3E">
        <w:rPr>
          <w:rFonts w:asciiTheme="minorHAnsi" w:hAnsiTheme="minorHAnsi" w:cstheme="minorHAnsi"/>
          <w:b/>
          <w:bCs/>
        </w:rPr>
        <w:t>WHEREAS,</w:t>
      </w:r>
      <w:r>
        <w:rPr>
          <w:rFonts w:asciiTheme="minorHAnsi" w:hAnsiTheme="minorHAnsi" w:cstheme="minorHAnsi"/>
        </w:rPr>
        <w:t xml:space="preserve"> on July 1, 2025, the draft Comprehensive Plan, draft zoning designations and draft development regulations were submitted to the Washington State Department of Commerce for the 60-day review, comments were received and adjustments made to the final Volume 1,  Volume 2, Volume 3 and Volume 5, as shown in the exhibits; and </w:t>
      </w:r>
    </w:p>
    <w:p w14:paraId="69618D6B" w14:textId="77777777" w:rsidR="004E728E" w:rsidRDefault="004E728E" w:rsidP="005A0F34">
      <w:pPr>
        <w:rPr>
          <w:rFonts w:asciiTheme="minorHAnsi" w:hAnsiTheme="minorHAnsi" w:cstheme="minorHAnsi"/>
        </w:rPr>
      </w:pPr>
    </w:p>
    <w:p w14:paraId="01E22DA1" w14:textId="77777777" w:rsidR="00666F3E" w:rsidRDefault="00666F3E" w:rsidP="00666F3E">
      <w:pPr>
        <w:rPr>
          <w:rFonts w:asciiTheme="minorHAnsi" w:hAnsiTheme="minorHAnsi" w:cstheme="minorHAnsi"/>
          <w:b/>
        </w:rPr>
      </w:pPr>
      <w:r w:rsidRPr="00666F3E">
        <w:rPr>
          <w:rFonts w:asciiTheme="minorHAnsi" w:hAnsiTheme="minorHAnsi" w:cstheme="minorHAnsi"/>
          <w:b/>
          <w:bCs/>
        </w:rPr>
        <w:t>WHEREAS, t</w:t>
      </w:r>
      <w:r>
        <w:rPr>
          <w:rFonts w:asciiTheme="minorHAnsi" w:hAnsiTheme="minorHAnsi" w:cstheme="minorHAnsi"/>
        </w:rPr>
        <w:t xml:space="preserve">he Lewis County Planning Commission held a duly noticed public hearing on the proposed development regulations on July 8, 2025 and continued the hearing to July 22 and August 12, 2025, where following the close of the hearing they deliberated and made a recommendation, as shown in Exhibit E, Letter of Transmittal; and </w:t>
      </w:r>
    </w:p>
    <w:p w14:paraId="773A16D5" w14:textId="77777777" w:rsidR="00666F3E" w:rsidRDefault="00666F3E" w:rsidP="005A0F34">
      <w:pPr>
        <w:rPr>
          <w:rFonts w:asciiTheme="minorHAnsi" w:hAnsiTheme="minorHAnsi" w:cstheme="minorHAnsi"/>
          <w:b/>
          <w:bCs/>
        </w:rPr>
      </w:pPr>
    </w:p>
    <w:p w14:paraId="385DD330" w14:textId="0EC2645C" w:rsidR="004E728E" w:rsidRDefault="004E728E" w:rsidP="005A0F34">
      <w:pPr>
        <w:rPr>
          <w:rFonts w:asciiTheme="minorHAnsi" w:hAnsiTheme="minorHAnsi" w:cstheme="minorHAnsi"/>
        </w:rPr>
      </w:pPr>
      <w:r w:rsidRPr="00666F3E">
        <w:rPr>
          <w:rFonts w:asciiTheme="minorHAnsi" w:hAnsiTheme="minorHAnsi" w:cstheme="minorHAnsi"/>
          <w:b/>
          <w:bCs/>
        </w:rPr>
        <w:t>WHEREAS,</w:t>
      </w:r>
      <w:r>
        <w:rPr>
          <w:rFonts w:asciiTheme="minorHAnsi" w:hAnsiTheme="minorHAnsi" w:cstheme="minorHAnsi"/>
        </w:rPr>
        <w:t xml:space="preserve"> Lewis County issued a SEPA Determination of </w:t>
      </w:r>
      <w:proofErr w:type="spellStart"/>
      <w:r>
        <w:rPr>
          <w:rFonts w:asciiTheme="minorHAnsi" w:hAnsiTheme="minorHAnsi" w:cstheme="minorHAnsi"/>
        </w:rPr>
        <w:t>Nonsignificance</w:t>
      </w:r>
      <w:proofErr w:type="spellEnd"/>
      <w:r>
        <w:rPr>
          <w:rFonts w:asciiTheme="minorHAnsi" w:hAnsiTheme="minorHAnsi" w:cstheme="minorHAnsi"/>
        </w:rPr>
        <w:t xml:space="preserve"> on August 21, 2025</w:t>
      </w:r>
      <w:r w:rsidR="00666F3E">
        <w:rPr>
          <w:rFonts w:asciiTheme="minorHAnsi" w:hAnsiTheme="minorHAnsi" w:cstheme="minorHAnsi"/>
        </w:rPr>
        <w:t xml:space="preserve"> for Volume 1, Volume 2, Volume 3 and Volume 4, as shown in the exhibits; and </w:t>
      </w:r>
    </w:p>
    <w:p w14:paraId="17F001A3" w14:textId="77777777" w:rsidR="00666F3E" w:rsidRDefault="00666F3E" w:rsidP="005A0F34">
      <w:pPr>
        <w:rPr>
          <w:rFonts w:asciiTheme="minorHAnsi" w:hAnsiTheme="minorHAnsi" w:cstheme="minorHAnsi"/>
        </w:rPr>
      </w:pPr>
    </w:p>
    <w:p w14:paraId="3566A2EA" w14:textId="483BD00B" w:rsidR="00666F3E" w:rsidRDefault="00666F3E" w:rsidP="005A0F34">
      <w:pPr>
        <w:rPr>
          <w:rFonts w:asciiTheme="minorHAnsi" w:hAnsiTheme="minorHAnsi" w:cstheme="minorHAnsi"/>
        </w:rPr>
      </w:pPr>
      <w:r w:rsidRPr="00666F3E">
        <w:rPr>
          <w:rFonts w:asciiTheme="minorHAnsi" w:hAnsiTheme="minorHAnsi" w:cstheme="minorHAnsi"/>
          <w:b/>
          <w:bCs/>
        </w:rPr>
        <w:t xml:space="preserve">WHEREAS, </w:t>
      </w:r>
      <w:r>
        <w:rPr>
          <w:rFonts w:asciiTheme="minorHAnsi" w:hAnsiTheme="minorHAnsi" w:cstheme="minorHAnsi"/>
        </w:rPr>
        <w:t>on September 2, 2025 the Lewis County Board of County Commissioners (BOCC) pass</w:t>
      </w:r>
      <w:r w:rsidR="00505121">
        <w:rPr>
          <w:rFonts w:asciiTheme="minorHAnsi" w:hAnsiTheme="minorHAnsi" w:cstheme="minorHAnsi"/>
        </w:rPr>
        <w:t>ed</w:t>
      </w:r>
      <w:r>
        <w:rPr>
          <w:rFonts w:asciiTheme="minorHAnsi" w:hAnsiTheme="minorHAnsi" w:cstheme="minorHAnsi"/>
        </w:rPr>
        <w:t xml:space="preserve"> Resolution </w:t>
      </w:r>
      <w:r w:rsidR="00505121">
        <w:rPr>
          <w:rFonts w:asciiTheme="minorHAnsi" w:hAnsiTheme="minorHAnsi" w:cstheme="minorHAnsi"/>
        </w:rPr>
        <w:t>25-243</w:t>
      </w:r>
      <w:r>
        <w:rPr>
          <w:rFonts w:asciiTheme="minorHAnsi" w:hAnsiTheme="minorHAnsi" w:cstheme="minorHAnsi"/>
        </w:rPr>
        <w:t xml:space="preserve"> to hold a public hearing on Ordinance 1367 and directed the Clerk of the Board to provide notice of the hearing; and</w:t>
      </w:r>
    </w:p>
    <w:p w14:paraId="6F0074E4" w14:textId="77777777" w:rsidR="00666F3E" w:rsidRDefault="00666F3E" w:rsidP="005A0F34">
      <w:pPr>
        <w:rPr>
          <w:rFonts w:asciiTheme="minorHAnsi" w:hAnsiTheme="minorHAnsi" w:cstheme="minorHAnsi"/>
        </w:rPr>
      </w:pPr>
    </w:p>
    <w:p w14:paraId="04A016EF" w14:textId="5E7F8714" w:rsidR="00666F3E" w:rsidRDefault="00666F3E" w:rsidP="005A0F34">
      <w:pPr>
        <w:rPr>
          <w:rFonts w:asciiTheme="minorHAnsi" w:hAnsiTheme="minorHAnsi" w:cstheme="minorHAnsi"/>
        </w:rPr>
      </w:pPr>
      <w:r w:rsidRPr="00A97403">
        <w:rPr>
          <w:rFonts w:asciiTheme="minorHAnsi" w:hAnsiTheme="minorHAnsi" w:cstheme="minorHAnsi"/>
          <w:b/>
          <w:bCs/>
        </w:rPr>
        <w:t xml:space="preserve">WHEREAS, </w:t>
      </w:r>
      <w:r>
        <w:rPr>
          <w:rFonts w:asciiTheme="minorHAnsi" w:hAnsiTheme="minorHAnsi" w:cstheme="minorHAnsi"/>
        </w:rPr>
        <w:t>the BOC held a duly noticed public hearing on the periodic update including Volume 1 – Lewis County Comprehensive Plan (Exhibit A), Volume 2 – Zoning Designations (Exhibit B), Volume 3 – Development Regulations (Exhibit C) and Volume 5 – Supporting Documents (Exhibit D)</w:t>
      </w:r>
      <w:r w:rsidR="00A97403">
        <w:rPr>
          <w:rFonts w:asciiTheme="minorHAnsi" w:hAnsiTheme="minorHAnsi" w:cstheme="minorHAnsi"/>
        </w:rPr>
        <w:t xml:space="preserve"> on September 23, 2025; and</w:t>
      </w:r>
    </w:p>
    <w:p w14:paraId="5DDFD9F1" w14:textId="77777777" w:rsidR="00A97403" w:rsidRDefault="00A97403" w:rsidP="005A0F34">
      <w:pPr>
        <w:rPr>
          <w:rFonts w:asciiTheme="minorHAnsi" w:hAnsiTheme="minorHAnsi" w:cstheme="minorHAnsi"/>
        </w:rPr>
      </w:pPr>
    </w:p>
    <w:p w14:paraId="2209CD08" w14:textId="6B4C621C" w:rsidR="00A97403" w:rsidRDefault="00A97403" w:rsidP="005A0F34">
      <w:pPr>
        <w:rPr>
          <w:rFonts w:asciiTheme="minorHAnsi" w:hAnsiTheme="minorHAnsi" w:cstheme="minorHAnsi"/>
        </w:rPr>
      </w:pPr>
      <w:r w:rsidRPr="00A97403">
        <w:rPr>
          <w:rFonts w:asciiTheme="minorHAnsi" w:hAnsiTheme="minorHAnsi" w:cstheme="minorHAnsi"/>
          <w:b/>
          <w:bCs/>
        </w:rPr>
        <w:t xml:space="preserve">WHEREAS, </w:t>
      </w:r>
      <w:r>
        <w:rPr>
          <w:rFonts w:asciiTheme="minorHAnsi" w:hAnsiTheme="minorHAnsi" w:cstheme="minorHAnsi"/>
        </w:rPr>
        <w:t>the BOCC finds that adopting Volume 1 – Lewis County Comprehensive Plan (Exhibit A), Volume 2 – Zoning Designations (Exhibit B), Volume 3 – Development Regulations (Exhibit C) and Volume 5 – Supporting Documents (Exhibit D) is consistent with the Growth Management Act and Countywide Planning Policies and is in the public’s best interest.</w:t>
      </w:r>
    </w:p>
    <w:p w14:paraId="3E844AAC" w14:textId="090BEB87" w:rsidR="009478AE" w:rsidRDefault="00222093" w:rsidP="00222093">
      <w:pPr>
        <w:spacing w:before="240" w:after="240"/>
        <w:rPr>
          <w:rFonts w:asciiTheme="minorHAnsi" w:hAnsiTheme="minorHAnsi" w:cstheme="minorHAnsi"/>
        </w:rPr>
      </w:pPr>
      <w:r w:rsidRPr="007B0CFA">
        <w:rPr>
          <w:rFonts w:asciiTheme="minorHAnsi" w:hAnsiTheme="minorHAnsi" w:cstheme="minorHAnsi"/>
          <w:b/>
        </w:rPr>
        <w:t xml:space="preserve">NOW THEREFORE BE IT RESOLVED </w:t>
      </w:r>
      <w:r w:rsidRPr="007B0CFA">
        <w:rPr>
          <w:rFonts w:asciiTheme="minorHAnsi" w:hAnsiTheme="minorHAnsi" w:cstheme="minorHAnsi"/>
        </w:rPr>
        <w:t>the BOCC</w:t>
      </w:r>
      <w:r w:rsidR="009478AE">
        <w:rPr>
          <w:rFonts w:asciiTheme="minorHAnsi" w:hAnsiTheme="minorHAnsi" w:cstheme="minorHAnsi"/>
        </w:rPr>
        <w:t xml:space="preserve"> rescind</w:t>
      </w:r>
      <w:r w:rsidR="00A97403">
        <w:rPr>
          <w:rFonts w:asciiTheme="minorHAnsi" w:hAnsiTheme="minorHAnsi" w:cstheme="minorHAnsi"/>
        </w:rPr>
        <w:t>s</w:t>
      </w:r>
      <w:r w:rsidR="009478AE">
        <w:rPr>
          <w:rFonts w:asciiTheme="minorHAnsi" w:hAnsiTheme="minorHAnsi" w:cstheme="minorHAnsi"/>
        </w:rPr>
        <w:t xml:space="preserve"> Ordinance 1359 and adopt</w:t>
      </w:r>
      <w:r w:rsidR="00A97403">
        <w:rPr>
          <w:rFonts w:asciiTheme="minorHAnsi" w:hAnsiTheme="minorHAnsi" w:cstheme="minorHAnsi"/>
        </w:rPr>
        <w:t>s</w:t>
      </w:r>
      <w:r w:rsidR="009478AE">
        <w:rPr>
          <w:rFonts w:asciiTheme="minorHAnsi" w:hAnsiTheme="minorHAnsi" w:cstheme="minorHAnsi"/>
        </w:rPr>
        <w:t xml:space="preserve"> the final 2045 population and housing allocations in</w:t>
      </w:r>
      <w:r w:rsidR="001E15E2">
        <w:rPr>
          <w:rFonts w:asciiTheme="minorHAnsi" w:hAnsiTheme="minorHAnsi" w:cstheme="minorHAnsi"/>
        </w:rPr>
        <w:t>cluded in</w:t>
      </w:r>
      <w:r w:rsidR="009478AE">
        <w:rPr>
          <w:rFonts w:asciiTheme="minorHAnsi" w:hAnsiTheme="minorHAnsi" w:cstheme="minorHAnsi"/>
        </w:rPr>
        <w:t xml:space="preserve"> </w:t>
      </w:r>
      <w:hyperlink r:id="rId7" w:history="1">
        <w:r w:rsidR="009478AE" w:rsidRPr="004B023B">
          <w:rPr>
            <w:rStyle w:val="Hyperlink"/>
            <w:rFonts w:asciiTheme="minorHAnsi" w:hAnsiTheme="minorHAnsi" w:cstheme="minorHAnsi"/>
          </w:rPr>
          <w:t>Volume 5 – Supporting Documents</w:t>
        </w:r>
      </w:hyperlink>
      <w:r w:rsidR="009478AE">
        <w:rPr>
          <w:rFonts w:asciiTheme="minorHAnsi" w:hAnsiTheme="minorHAnsi" w:cstheme="minorHAnsi"/>
        </w:rPr>
        <w:t xml:space="preserve">, D. Memo Re: Commerce HAPT Model, as shown in Exhibit D; and </w:t>
      </w:r>
    </w:p>
    <w:p w14:paraId="7B44C002" w14:textId="15D146E8" w:rsidR="009478AE" w:rsidRDefault="009478AE" w:rsidP="00222093">
      <w:pPr>
        <w:spacing w:before="240" w:after="240"/>
        <w:rPr>
          <w:rFonts w:asciiTheme="minorHAnsi" w:hAnsiTheme="minorHAnsi" w:cstheme="minorHAnsi"/>
        </w:rPr>
      </w:pPr>
      <w:r w:rsidRPr="007B0CFA">
        <w:rPr>
          <w:rFonts w:asciiTheme="minorHAnsi" w:hAnsiTheme="minorHAnsi" w:cstheme="minorHAnsi"/>
          <w:b/>
        </w:rPr>
        <w:t>NOW THEREFORE BE IT FURTHER RESOLVED</w:t>
      </w:r>
      <w:r>
        <w:rPr>
          <w:rFonts w:asciiTheme="minorHAnsi" w:hAnsiTheme="minorHAnsi" w:cstheme="minorHAnsi"/>
        </w:rPr>
        <w:t xml:space="preserve"> the BOCC adopt</w:t>
      </w:r>
      <w:r w:rsidR="00A97403">
        <w:rPr>
          <w:rFonts w:asciiTheme="minorHAnsi" w:hAnsiTheme="minorHAnsi" w:cstheme="minorHAnsi"/>
        </w:rPr>
        <w:t>s</w:t>
      </w:r>
      <w:r>
        <w:rPr>
          <w:rFonts w:asciiTheme="minorHAnsi" w:hAnsiTheme="minorHAnsi" w:cstheme="minorHAnsi"/>
        </w:rPr>
        <w:t xml:space="preserve"> the </w:t>
      </w:r>
      <w:hyperlink r:id="rId8" w:history="1">
        <w:r w:rsidRPr="004B023B">
          <w:rPr>
            <w:rStyle w:val="Hyperlink"/>
            <w:rFonts w:asciiTheme="minorHAnsi" w:hAnsiTheme="minorHAnsi" w:cstheme="minorHAnsi"/>
          </w:rPr>
          <w:t>Onalaska Subarea Plan</w:t>
        </w:r>
      </w:hyperlink>
      <w:r>
        <w:rPr>
          <w:rFonts w:asciiTheme="minorHAnsi" w:hAnsiTheme="minorHAnsi" w:cstheme="minorHAnsi"/>
        </w:rPr>
        <w:t xml:space="preserve"> in Volume 5 – Supporting Documents, E. Onalaska Subarea Plan, as shown in Exhibit D; and  </w:t>
      </w:r>
    </w:p>
    <w:p w14:paraId="570F0E6A" w14:textId="65053B63" w:rsidR="00222093" w:rsidRDefault="009478AE" w:rsidP="00222093">
      <w:pPr>
        <w:spacing w:before="240" w:after="240"/>
        <w:rPr>
          <w:rFonts w:asciiTheme="minorHAnsi" w:hAnsiTheme="minorHAnsi" w:cs="Calibri"/>
        </w:rPr>
      </w:pPr>
      <w:r w:rsidRPr="007B0CFA">
        <w:rPr>
          <w:rFonts w:asciiTheme="minorHAnsi" w:hAnsiTheme="minorHAnsi" w:cstheme="minorHAnsi"/>
          <w:b/>
        </w:rPr>
        <w:t>NOW THEREFORE BE IT FURTHER RESOLVED</w:t>
      </w:r>
      <w:r>
        <w:rPr>
          <w:rFonts w:asciiTheme="minorHAnsi" w:hAnsiTheme="minorHAnsi" w:cstheme="minorHAnsi"/>
        </w:rPr>
        <w:t xml:space="preserve"> the BOCC adopt</w:t>
      </w:r>
      <w:r w:rsidR="00A97403">
        <w:rPr>
          <w:rFonts w:asciiTheme="minorHAnsi" w:hAnsiTheme="minorHAnsi" w:cstheme="minorHAnsi"/>
        </w:rPr>
        <w:t>s</w:t>
      </w:r>
      <w:r>
        <w:rPr>
          <w:rFonts w:asciiTheme="minorHAnsi" w:hAnsiTheme="minorHAnsi" w:cstheme="minorHAnsi"/>
        </w:rPr>
        <w:t xml:space="preserve"> </w:t>
      </w:r>
      <w:hyperlink r:id="rId9" w:history="1">
        <w:r w:rsidRPr="004B023B">
          <w:rPr>
            <w:rStyle w:val="Hyperlink"/>
            <w:rFonts w:asciiTheme="minorHAnsi" w:hAnsiTheme="minorHAnsi" w:cstheme="minorHAnsi"/>
          </w:rPr>
          <w:t>Volume 1 – Lewis County Comprehensive Plan</w:t>
        </w:r>
      </w:hyperlink>
      <w:r>
        <w:rPr>
          <w:rFonts w:asciiTheme="minorHAnsi" w:hAnsiTheme="minorHAnsi" w:cstheme="minorHAnsi"/>
        </w:rPr>
        <w:t>, as shown in Exhibit A</w:t>
      </w:r>
      <w:r w:rsidR="00222093" w:rsidRPr="007B0CFA">
        <w:rPr>
          <w:rFonts w:asciiTheme="minorHAnsi" w:hAnsiTheme="minorHAnsi" w:cs="Calibri"/>
        </w:rPr>
        <w:t>; and</w:t>
      </w:r>
    </w:p>
    <w:p w14:paraId="1F2CC0D6" w14:textId="0D1FB295" w:rsidR="009478AE" w:rsidRPr="009478AE" w:rsidRDefault="009478AE" w:rsidP="00222093">
      <w:pPr>
        <w:spacing w:before="240" w:after="240"/>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
        </w:rPr>
        <w:t xml:space="preserve"> </w:t>
      </w:r>
      <w:r w:rsidRPr="009478AE">
        <w:rPr>
          <w:rFonts w:asciiTheme="minorHAnsi" w:hAnsiTheme="minorHAnsi" w:cstheme="minorHAnsi"/>
          <w:bCs/>
        </w:rPr>
        <w:t>the BOCC adopt</w:t>
      </w:r>
      <w:r w:rsidR="00A97403">
        <w:rPr>
          <w:rFonts w:asciiTheme="minorHAnsi" w:hAnsiTheme="minorHAnsi" w:cstheme="minorHAnsi"/>
          <w:bCs/>
        </w:rPr>
        <w:t>s</w:t>
      </w:r>
      <w:r w:rsidRPr="009478AE">
        <w:rPr>
          <w:rFonts w:asciiTheme="minorHAnsi" w:hAnsiTheme="minorHAnsi" w:cstheme="minorHAnsi"/>
          <w:bCs/>
        </w:rPr>
        <w:t xml:space="preserve"> </w:t>
      </w:r>
      <w:hyperlink r:id="rId10" w:history="1">
        <w:r w:rsidRPr="004B023B">
          <w:rPr>
            <w:rStyle w:val="Hyperlink"/>
            <w:rFonts w:asciiTheme="minorHAnsi" w:hAnsiTheme="minorHAnsi" w:cstheme="minorHAnsi"/>
            <w:bCs/>
          </w:rPr>
          <w:t>Volume 2 – Zoning Designations</w:t>
        </w:r>
      </w:hyperlink>
      <w:r w:rsidRPr="009478AE">
        <w:rPr>
          <w:rFonts w:asciiTheme="minorHAnsi" w:hAnsiTheme="minorHAnsi" w:cstheme="minorHAnsi"/>
          <w:bCs/>
        </w:rPr>
        <w:t>, as shown in Exhibit B</w:t>
      </w:r>
      <w:r w:rsidR="001E15E2">
        <w:rPr>
          <w:rFonts w:asciiTheme="minorHAnsi" w:hAnsiTheme="minorHAnsi" w:cstheme="minorHAnsi"/>
          <w:bCs/>
        </w:rPr>
        <w:t>,</w:t>
      </w:r>
      <w:r w:rsidRPr="009478AE">
        <w:rPr>
          <w:rFonts w:asciiTheme="minorHAnsi" w:hAnsiTheme="minorHAnsi" w:cstheme="minorHAnsi"/>
          <w:bCs/>
        </w:rPr>
        <w:t xml:space="preserve"> and directs staff to produce an Official Lewis </w:t>
      </w:r>
      <w:r>
        <w:rPr>
          <w:rFonts w:asciiTheme="minorHAnsi" w:hAnsiTheme="minorHAnsi" w:cstheme="minorHAnsi"/>
          <w:bCs/>
        </w:rPr>
        <w:t>C</w:t>
      </w:r>
      <w:r w:rsidRPr="009478AE">
        <w:rPr>
          <w:rFonts w:asciiTheme="minorHAnsi" w:hAnsiTheme="minorHAnsi" w:cstheme="minorHAnsi"/>
          <w:bCs/>
        </w:rPr>
        <w:t xml:space="preserve">ounty zoning map or maps, as required by Chapter 17.200 of the Lewis County Code, </w:t>
      </w:r>
      <w:r>
        <w:rPr>
          <w:rFonts w:asciiTheme="minorHAnsi" w:hAnsiTheme="minorHAnsi" w:cstheme="minorHAnsi"/>
          <w:bCs/>
        </w:rPr>
        <w:t>to</w:t>
      </w:r>
      <w:r w:rsidRPr="009478AE">
        <w:rPr>
          <w:rFonts w:asciiTheme="minorHAnsi" w:hAnsiTheme="minorHAnsi" w:cstheme="minorHAnsi"/>
          <w:bCs/>
        </w:rPr>
        <w:t xml:space="preserve"> reflect the decisions made in this ordinance; and </w:t>
      </w:r>
    </w:p>
    <w:p w14:paraId="67F1C0D5" w14:textId="6DD39E34" w:rsidR="001E15E2" w:rsidRDefault="009369A1" w:rsidP="000A402E">
      <w:pPr>
        <w:tabs>
          <w:tab w:val="left" w:pos="720"/>
        </w:tabs>
        <w:rPr>
          <w:rFonts w:asciiTheme="minorHAnsi" w:hAnsiTheme="minorHAnsi" w:cs="Calibri"/>
        </w:rPr>
      </w:pPr>
      <w:r w:rsidRPr="007B0CFA">
        <w:rPr>
          <w:rFonts w:asciiTheme="minorHAnsi" w:hAnsiTheme="minorHAnsi" w:cstheme="minorHAnsi"/>
          <w:b/>
        </w:rPr>
        <w:lastRenderedPageBreak/>
        <w:t>NOW THEREFORE BE IT FURTHER RESOLVED</w:t>
      </w:r>
      <w:r w:rsidRPr="007B0CFA">
        <w:rPr>
          <w:rFonts w:asciiTheme="minorHAnsi" w:hAnsiTheme="minorHAnsi" w:cstheme="minorHAnsi"/>
        </w:rPr>
        <w:t xml:space="preserve"> </w:t>
      </w:r>
      <w:r>
        <w:rPr>
          <w:rFonts w:asciiTheme="minorHAnsi" w:hAnsiTheme="minorHAnsi" w:cstheme="minorHAnsi"/>
        </w:rPr>
        <w:t>the BOCC</w:t>
      </w:r>
      <w:r w:rsidR="009478AE">
        <w:rPr>
          <w:rFonts w:asciiTheme="minorHAnsi" w:hAnsiTheme="minorHAnsi" w:cstheme="minorHAnsi"/>
        </w:rPr>
        <w:t xml:space="preserve"> adopt</w:t>
      </w:r>
      <w:r w:rsidR="00A97403">
        <w:rPr>
          <w:rFonts w:asciiTheme="minorHAnsi" w:hAnsiTheme="minorHAnsi" w:cstheme="minorHAnsi"/>
        </w:rPr>
        <w:t>s</w:t>
      </w:r>
      <w:r w:rsidR="009478AE">
        <w:rPr>
          <w:rFonts w:asciiTheme="minorHAnsi" w:hAnsiTheme="minorHAnsi" w:cstheme="minorHAnsi"/>
        </w:rPr>
        <w:t xml:space="preserve"> </w:t>
      </w:r>
      <w:hyperlink r:id="rId11" w:history="1">
        <w:r w:rsidR="009478AE" w:rsidRPr="004B023B">
          <w:rPr>
            <w:rStyle w:val="Hyperlink"/>
            <w:rFonts w:asciiTheme="minorHAnsi" w:hAnsiTheme="minorHAnsi" w:cstheme="minorHAnsi"/>
          </w:rPr>
          <w:t>Volume 3 – Development Regulations</w:t>
        </w:r>
      </w:hyperlink>
      <w:r w:rsidR="009478AE">
        <w:rPr>
          <w:rFonts w:asciiTheme="minorHAnsi" w:hAnsiTheme="minorHAnsi" w:cstheme="minorHAnsi"/>
        </w:rPr>
        <w:t xml:space="preserve">, as shown in Exhibit C, and directs staff to amend the Lewis County Code Title 2, Title 8, Title 15, Title 16 and Title 17, to incorporate the amendments made in this ordinance; and </w:t>
      </w:r>
      <w:r w:rsidR="00117F98" w:rsidRPr="007B0CFA">
        <w:rPr>
          <w:rFonts w:asciiTheme="minorHAnsi" w:hAnsiTheme="minorHAnsi" w:cs="Calibri"/>
        </w:rPr>
        <w:t xml:space="preserve"> </w:t>
      </w:r>
      <w:r w:rsidR="00117F98" w:rsidRPr="007B0CFA">
        <w:rPr>
          <w:rFonts w:asciiTheme="minorHAnsi" w:hAnsiTheme="minorHAnsi" w:cs="Calibri"/>
        </w:rPr>
        <w:tab/>
        <w:t xml:space="preserve"> </w:t>
      </w:r>
    </w:p>
    <w:p w14:paraId="755603E9" w14:textId="77777777" w:rsidR="004E728E" w:rsidRDefault="004E728E" w:rsidP="000A402E">
      <w:pPr>
        <w:tabs>
          <w:tab w:val="left" w:pos="720"/>
        </w:tabs>
        <w:rPr>
          <w:rFonts w:asciiTheme="minorHAnsi" w:hAnsiTheme="minorHAnsi" w:cstheme="minorHAnsi"/>
          <w:b/>
        </w:rPr>
      </w:pPr>
    </w:p>
    <w:p w14:paraId="01A8C828" w14:textId="65080E27" w:rsidR="00117F98" w:rsidRDefault="001E15E2" w:rsidP="000A402E">
      <w:pPr>
        <w:tabs>
          <w:tab w:val="left" w:pos="720"/>
        </w:tabs>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
        </w:rPr>
        <w:t xml:space="preserve"> </w:t>
      </w:r>
      <w:r w:rsidRPr="001E15E2">
        <w:rPr>
          <w:rFonts w:asciiTheme="minorHAnsi" w:hAnsiTheme="minorHAnsi" w:cstheme="minorHAnsi"/>
          <w:bCs/>
        </w:rPr>
        <w:t xml:space="preserve">the BOCC adopts </w:t>
      </w:r>
      <w:hyperlink r:id="rId12" w:history="1">
        <w:r w:rsidRPr="004B023B">
          <w:rPr>
            <w:rStyle w:val="Hyperlink"/>
            <w:rFonts w:asciiTheme="minorHAnsi" w:hAnsiTheme="minorHAnsi" w:cstheme="minorHAnsi"/>
            <w:bCs/>
          </w:rPr>
          <w:t>Volume 5 – Supporting Documents</w:t>
        </w:r>
      </w:hyperlink>
      <w:r w:rsidRPr="001E15E2">
        <w:rPr>
          <w:rFonts w:asciiTheme="minorHAnsi" w:hAnsiTheme="minorHAnsi" w:cstheme="minorHAnsi"/>
          <w:bCs/>
        </w:rPr>
        <w:t xml:space="preserve">, as shown in Exhibit </w:t>
      </w:r>
      <w:r>
        <w:rPr>
          <w:rFonts w:asciiTheme="minorHAnsi" w:hAnsiTheme="minorHAnsi" w:cstheme="minorHAnsi"/>
          <w:bCs/>
        </w:rPr>
        <w:t>D</w:t>
      </w:r>
      <w:r w:rsidRPr="001E15E2">
        <w:rPr>
          <w:rFonts w:asciiTheme="minorHAnsi" w:hAnsiTheme="minorHAnsi" w:cstheme="minorHAnsi"/>
          <w:bCs/>
        </w:rPr>
        <w:t>, as further findings of fact</w:t>
      </w:r>
      <w:r w:rsidR="00505121">
        <w:rPr>
          <w:rFonts w:asciiTheme="minorHAnsi" w:hAnsiTheme="minorHAnsi" w:cstheme="minorHAnsi"/>
          <w:bCs/>
        </w:rPr>
        <w:t>; and</w:t>
      </w:r>
    </w:p>
    <w:p w14:paraId="7DD229D1" w14:textId="029B2573" w:rsidR="00505121" w:rsidRDefault="00505121" w:rsidP="000A402E">
      <w:pPr>
        <w:tabs>
          <w:tab w:val="left" w:pos="720"/>
        </w:tabs>
        <w:rPr>
          <w:rFonts w:asciiTheme="minorHAnsi" w:hAnsiTheme="minorHAnsi" w:cstheme="minorHAnsi"/>
          <w:bCs/>
        </w:rPr>
      </w:pPr>
      <w:r>
        <w:rPr>
          <w:rFonts w:asciiTheme="minorHAnsi" w:hAnsiTheme="minorHAnsi" w:cstheme="minorHAnsi"/>
          <w:bCs/>
        </w:rPr>
        <w:t xml:space="preserve"> </w:t>
      </w:r>
    </w:p>
    <w:p w14:paraId="171E7477" w14:textId="5C917D0D" w:rsidR="00505121" w:rsidRDefault="00505121" w:rsidP="000A402E">
      <w:pPr>
        <w:tabs>
          <w:tab w:val="left" w:pos="720"/>
        </w:tabs>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Cs/>
        </w:rPr>
        <w:t xml:space="preserve"> Volume 1, Volume 2 and Volume 3 shall become effective on October 1, 2025, except </w:t>
      </w:r>
      <w:r w:rsidR="003B6D17">
        <w:rPr>
          <w:rFonts w:asciiTheme="minorHAnsi" w:hAnsiTheme="minorHAnsi" w:cstheme="minorHAnsi"/>
          <w:bCs/>
        </w:rPr>
        <w:t xml:space="preserve">Volume 3 </w:t>
      </w:r>
      <w:r>
        <w:rPr>
          <w:rFonts w:asciiTheme="minorHAnsi" w:hAnsiTheme="minorHAnsi" w:cstheme="minorHAnsi"/>
          <w:bCs/>
        </w:rPr>
        <w:t xml:space="preserve">Chapter 17.105, Short Term Rentals, </w:t>
      </w:r>
      <w:r w:rsidR="003B6D17">
        <w:rPr>
          <w:rFonts w:asciiTheme="minorHAnsi" w:hAnsiTheme="minorHAnsi" w:cstheme="minorHAnsi"/>
          <w:bCs/>
        </w:rPr>
        <w:t xml:space="preserve">and Chapter 17.142.207, Signs, </w:t>
      </w:r>
      <w:r>
        <w:rPr>
          <w:rFonts w:asciiTheme="minorHAnsi" w:hAnsiTheme="minorHAnsi" w:cstheme="minorHAnsi"/>
          <w:bCs/>
        </w:rPr>
        <w:t>shall become effect on January 1, 2026; and</w:t>
      </w:r>
    </w:p>
    <w:p w14:paraId="411DBE01" w14:textId="77777777" w:rsidR="00505121" w:rsidRDefault="00505121" w:rsidP="000A402E">
      <w:pPr>
        <w:tabs>
          <w:tab w:val="left" w:pos="720"/>
        </w:tabs>
        <w:rPr>
          <w:rFonts w:asciiTheme="minorHAnsi" w:hAnsiTheme="minorHAnsi" w:cstheme="minorHAnsi"/>
          <w:bCs/>
        </w:rPr>
      </w:pPr>
    </w:p>
    <w:p w14:paraId="3137AF8D" w14:textId="4C4BB153" w:rsidR="00505121" w:rsidRDefault="00505121" w:rsidP="000A402E">
      <w:pPr>
        <w:tabs>
          <w:tab w:val="left" w:pos="720"/>
        </w:tabs>
        <w:rPr>
          <w:rFonts w:asciiTheme="minorHAnsi" w:hAnsiTheme="minorHAnsi" w:cstheme="minorHAnsi"/>
          <w:bCs/>
        </w:rPr>
      </w:pPr>
      <w:r w:rsidRPr="007B0CFA">
        <w:rPr>
          <w:rFonts w:asciiTheme="minorHAnsi" w:hAnsiTheme="minorHAnsi" w:cstheme="minorHAnsi"/>
          <w:b/>
        </w:rPr>
        <w:t>NOW THEREFORE BE IT FURTHER RESOLVED</w:t>
      </w:r>
      <w:r>
        <w:rPr>
          <w:rFonts w:asciiTheme="minorHAnsi" w:hAnsiTheme="minorHAnsi" w:cstheme="minorHAnsi"/>
          <w:b/>
        </w:rPr>
        <w:t xml:space="preserve"> </w:t>
      </w:r>
      <w:r w:rsidRPr="001E15E2">
        <w:rPr>
          <w:rFonts w:asciiTheme="minorHAnsi" w:hAnsiTheme="minorHAnsi" w:cstheme="minorHAnsi"/>
          <w:bCs/>
        </w:rPr>
        <w:t>the BOCC</w:t>
      </w:r>
      <w:r>
        <w:rPr>
          <w:rFonts w:asciiTheme="minorHAnsi" w:hAnsiTheme="minorHAnsi" w:cstheme="minorHAnsi"/>
          <w:bCs/>
        </w:rPr>
        <w:t xml:space="preserve"> directs the Community Development to form a community advisory committee, or similar advisory body, to evaluate the effectiveness of the short term rental requirements and propose additional measures as appropriate to manage short term rentals.</w:t>
      </w:r>
    </w:p>
    <w:p w14:paraId="4546ECCB" w14:textId="77777777" w:rsidR="00D578D9" w:rsidRDefault="00D578D9" w:rsidP="000A402E">
      <w:pPr>
        <w:tabs>
          <w:tab w:val="left" w:pos="720"/>
        </w:tabs>
        <w:rPr>
          <w:rFonts w:asciiTheme="minorHAnsi" w:hAnsiTheme="minorHAnsi" w:cs="Calibri"/>
        </w:rPr>
      </w:pPr>
    </w:p>
    <w:p w14:paraId="3B3B46B5" w14:textId="0A7075AD" w:rsidR="00D578D9" w:rsidRPr="007B0CFA" w:rsidRDefault="00D578D9" w:rsidP="000A402E">
      <w:pPr>
        <w:tabs>
          <w:tab w:val="left" w:pos="720"/>
        </w:tabs>
        <w:rPr>
          <w:rFonts w:asciiTheme="minorHAnsi" w:hAnsiTheme="minorHAnsi" w:cs="Calibri"/>
        </w:rPr>
      </w:pPr>
      <w:r>
        <w:rPr>
          <w:rFonts w:asciiTheme="minorHAnsi" w:hAnsiTheme="minorHAnsi" w:cs="Calibri"/>
        </w:rPr>
        <w:t xml:space="preserve">PASSED IN REGULAR SESSION on this  ______ day of _____________________, 2025, following a public hearing publicized in the paper of record on September </w:t>
      </w:r>
      <w:r w:rsidR="00505121">
        <w:rPr>
          <w:rFonts w:asciiTheme="minorHAnsi" w:hAnsiTheme="minorHAnsi" w:cs="Calibri"/>
        </w:rPr>
        <w:t>2</w:t>
      </w:r>
      <w:r>
        <w:rPr>
          <w:rFonts w:asciiTheme="minorHAnsi" w:hAnsiTheme="minorHAnsi" w:cs="Calibri"/>
        </w:rPr>
        <w:t>, 2025.</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36410175" w14:textId="75DF81F5" w:rsidR="00117F98" w:rsidRPr="007B0CFA" w:rsidRDefault="009478AE" w:rsidP="00617EA9">
            <w:pPr>
              <w:spacing w:line="240" w:lineRule="auto"/>
              <w:jc w:val="both"/>
              <w:rPr>
                <w:rFonts w:asciiTheme="minorHAnsi" w:hAnsiTheme="minorHAnsi" w:cs="Calibri"/>
              </w:rPr>
            </w:pPr>
            <w:r>
              <w:rPr>
                <w:rFonts w:asciiTheme="minorHAnsi" w:hAnsiTheme="minorHAnsi" w:cs="Calibri"/>
              </w:rPr>
              <w:t xml:space="preserve">Scott J. Brummer, </w:t>
            </w:r>
            <w:r w:rsidRPr="007B0CFA">
              <w:rPr>
                <w:rFonts w:asciiTheme="minorHAnsi" w:hAnsiTheme="minorHAnsi" w:cs="Calibri"/>
              </w:rPr>
              <w:t xml:space="preserve">Vice Chair </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661D9450" w14:textId="6997304C" w:rsidR="00117F98" w:rsidRPr="007B0CFA" w:rsidRDefault="009478AE" w:rsidP="00617EA9">
            <w:pPr>
              <w:spacing w:line="240" w:lineRule="auto"/>
              <w:jc w:val="both"/>
              <w:rPr>
                <w:rFonts w:asciiTheme="minorHAnsi" w:hAnsiTheme="minorHAnsi" w:cs="Calibri"/>
              </w:rPr>
            </w:pPr>
            <w:r w:rsidRPr="007B0CFA">
              <w:rPr>
                <w:rFonts w:asciiTheme="minorHAnsi" w:hAnsiTheme="minorHAnsi" w:cs="Calibri"/>
              </w:rPr>
              <w:t>L</w:t>
            </w:r>
            <w:r>
              <w:rPr>
                <w:rFonts w:asciiTheme="minorHAnsi" w:hAnsiTheme="minorHAnsi" w:cs="Calibri"/>
              </w:rPr>
              <w:t>i</w:t>
            </w:r>
            <w:r w:rsidRPr="007B0CFA">
              <w:rPr>
                <w:rFonts w:asciiTheme="minorHAnsi" w:hAnsiTheme="minorHAnsi" w:cs="Calibri"/>
              </w:rPr>
              <w:t>ndsey R. Pollock, DVM, Commissioner</w:t>
            </w:r>
          </w:p>
        </w:tc>
      </w:tr>
      <w:tr w:rsidR="00117F98" w:rsidRPr="007B0CFA" w14:paraId="4EE18582" w14:textId="77777777" w:rsidTr="00617EA9">
        <w:tc>
          <w:tcPr>
            <w:tcW w:w="4608" w:type="dxa"/>
            <w:tcBorders>
              <w:bottom w:val="single" w:sz="4" w:space="0" w:color="auto"/>
            </w:tcBorders>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tcPr>
          <w:p w14:paraId="797452A3" w14:textId="3F8E96F4"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w:t>
            </w:r>
            <w:r w:rsidR="009478AE" w:rsidRPr="007B0CFA">
              <w:rPr>
                <w:rFonts w:asciiTheme="minorHAnsi" w:hAnsiTheme="minorHAnsi" w:cs="Calibri"/>
              </w:rPr>
              <w:t xml:space="preserve">Sean </w:t>
            </w:r>
            <w:r w:rsidR="0042354D">
              <w:rPr>
                <w:rFonts w:asciiTheme="minorHAnsi" w:hAnsiTheme="minorHAnsi" w:cs="Calibri"/>
              </w:rPr>
              <w:t xml:space="preserve">D. </w:t>
            </w:r>
            <w:r w:rsidR="009478AE" w:rsidRPr="007B0CFA">
              <w:rPr>
                <w:rFonts w:asciiTheme="minorHAnsi" w:hAnsiTheme="minorHAnsi" w:cs="Calibri"/>
              </w:rPr>
              <w:t>Swope</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8AA3" w14:textId="3DAF24B8"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A402E"/>
    <w:rsid w:val="000D14A9"/>
    <w:rsid w:val="00117F98"/>
    <w:rsid w:val="0013222D"/>
    <w:rsid w:val="001923D9"/>
    <w:rsid w:val="001E15E2"/>
    <w:rsid w:val="00222093"/>
    <w:rsid w:val="002528E6"/>
    <w:rsid w:val="00277E93"/>
    <w:rsid w:val="002A152B"/>
    <w:rsid w:val="002E686E"/>
    <w:rsid w:val="00335A01"/>
    <w:rsid w:val="0039173F"/>
    <w:rsid w:val="003B6D17"/>
    <w:rsid w:val="0042354D"/>
    <w:rsid w:val="004350CC"/>
    <w:rsid w:val="0045467F"/>
    <w:rsid w:val="00461A6A"/>
    <w:rsid w:val="004661E0"/>
    <w:rsid w:val="004B023B"/>
    <w:rsid w:val="004C1ED4"/>
    <w:rsid w:val="004C287E"/>
    <w:rsid w:val="004E5E68"/>
    <w:rsid w:val="004E728E"/>
    <w:rsid w:val="004F7850"/>
    <w:rsid w:val="00505121"/>
    <w:rsid w:val="005957F7"/>
    <w:rsid w:val="005A0F34"/>
    <w:rsid w:val="005A4007"/>
    <w:rsid w:val="005A6E93"/>
    <w:rsid w:val="005C64C4"/>
    <w:rsid w:val="005D79D3"/>
    <w:rsid w:val="006018A5"/>
    <w:rsid w:val="006254A7"/>
    <w:rsid w:val="006419D1"/>
    <w:rsid w:val="00666F3E"/>
    <w:rsid w:val="00674527"/>
    <w:rsid w:val="006868A0"/>
    <w:rsid w:val="006A2C62"/>
    <w:rsid w:val="006E00F4"/>
    <w:rsid w:val="007059B7"/>
    <w:rsid w:val="00711457"/>
    <w:rsid w:val="00723FFD"/>
    <w:rsid w:val="0072426C"/>
    <w:rsid w:val="00776FB2"/>
    <w:rsid w:val="00794115"/>
    <w:rsid w:val="007B0CFA"/>
    <w:rsid w:val="0087153B"/>
    <w:rsid w:val="00885186"/>
    <w:rsid w:val="008A49BD"/>
    <w:rsid w:val="008F1A37"/>
    <w:rsid w:val="00903CBB"/>
    <w:rsid w:val="00933D57"/>
    <w:rsid w:val="009369A1"/>
    <w:rsid w:val="009478AE"/>
    <w:rsid w:val="009A2D42"/>
    <w:rsid w:val="009A7BA8"/>
    <w:rsid w:val="009B55BD"/>
    <w:rsid w:val="009D75C0"/>
    <w:rsid w:val="00A81DA6"/>
    <w:rsid w:val="00A97403"/>
    <w:rsid w:val="00AA7EC3"/>
    <w:rsid w:val="00B4022E"/>
    <w:rsid w:val="00B46B5A"/>
    <w:rsid w:val="00C0669F"/>
    <w:rsid w:val="00C22FF0"/>
    <w:rsid w:val="00C6498C"/>
    <w:rsid w:val="00C7134E"/>
    <w:rsid w:val="00CA2DB6"/>
    <w:rsid w:val="00CA3498"/>
    <w:rsid w:val="00CA5405"/>
    <w:rsid w:val="00D259C9"/>
    <w:rsid w:val="00D578D9"/>
    <w:rsid w:val="00D873B5"/>
    <w:rsid w:val="00DA1DDE"/>
    <w:rsid w:val="00DB0204"/>
    <w:rsid w:val="00DD3F53"/>
    <w:rsid w:val="00DD6417"/>
    <w:rsid w:val="00DF77AE"/>
    <w:rsid w:val="00E079A8"/>
    <w:rsid w:val="00E27600"/>
    <w:rsid w:val="00EB0A64"/>
    <w:rsid w:val="00EB6E76"/>
    <w:rsid w:val="00EE6B42"/>
    <w:rsid w:val="00F05012"/>
    <w:rsid w:val="00F5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 w:type="character" w:styleId="Hyperlink">
    <w:name w:val="Hyperlink"/>
    <w:basedOn w:val="DefaultParagraphFont"/>
    <w:uiPriority w:val="99"/>
    <w:unhideWhenUsed/>
    <w:rsid w:val="004B023B"/>
    <w:rPr>
      <w:color w:val="0563C1" w:themeColor="hyperlink"/>
      <w:u w:val="single"/>
    </w:rPr>
  </w:style>
  <w:style w:type="character" w:styleId="UnresolvedMention">
    <w:name w:val="Unresolved Mention"/>
    <w:basedOn w:val="DefaultParagraphFont"/>
    <w:uiPriority w:val="99"/>
    <w:semiHidden/>
    <w:unhideWhenUsed/>
    <w:rsid w:val="004B0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ocuments/15368/2025-01-01_TheOnalaskaPlan_FINALDRAFT.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ewiscountywa.gov/documents/16878/Volume5_SupportingDocuments.pdf" TargetMode="External"/><Relationship Id="rId12" Type="http://schemas.openxmlformats.org/officeDocument/2006/relationships/hyperlink" Target="https://lewiscountywa.gov/documents/16878/Volume5_SupportingDocuments.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wiscountywa.gov/documents/16848/Volume3_DevelopmentRegulations.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ewiscountywa.gov/documents/17009/Volume2_ZoningDesignations_WDTZdVA.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wiscountywa.gov/documents/16846/Volume1_CompPlan.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15</cp:revision>
  <dcterms:created xsi:type="dcterms:W3CDTF">2022-11-02T18:05:00Z</dcterms:created>
  <dcterms:modified xsi:type="dcterms:W3CDTF">2025-09-15T20:09:00Z</dcterms:modified>
</cp:coreProperties>
</file>