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C953" w14:textId="77777777" w:rsidR="009145D2" w:rsidRPr="00B22450" w:rsidRDefault="009145D2" w:rsidP="009145D2">
      <w:pPr>
        <w:spacing w:after="240"/>
        <w:jc w:val="center"/>
        <w:rPr>
          <w:b/>
          <w:bCs/>
        </w:rPr>
      </w:pPr>
      <w:r w:rsidRPr="001741AD">
        <w:rPr>
          <w:b/>
          <w:bCs/>
        </w:rPr>
        <w:t>BEFORE THE BOARD OF COUNTY COMMISSIONERS</w:t>
      </w:r>
      <w:r w:rsidRPr="001741AD">
        <w:rPr>
          <w:b/>
          <w:bCs/>
        </w:rPr>
        <w:br/>
        <w:t>OF LEWIS COUNTY, WASHINGTON</w:t>
      </w:r>
    </w:p>
    <w:p w14:paraId="4CEC6A43" w14:textId="77777777" w:rsidR="00B22450" w:rsidRDefault="00B22450" w:rsidP="008D4364">
      <w:pPr>
        <w:rPr>
          <w:rFonts w:ascii="Calibri" w:hAnsi="Calibri" w:cs="Calibri"/>
        </w:rPr>
      </w:pPr>
    </w:p>
    <w:p w14:paraId="2EBAE333" w14:textId="3779A4B6" w:rsidR="00B22450" w:rsidRPr="00B22450" w:rsidRDefault="00B22450" w:rsidP="00B22450">
      <w:pPr>
        <w:tabs>
          <w:tab w:val="left" w:pos="7470"/>
        </w:tabs>
        <w:rPr>
          <w:rFonts w:ascii="Calibri" w:hAnsi="Calibri" w:cs="Calibri"/>
          <w:b/>
          <w:bCs/>
        </w:rPr>
      </w:pPr>
      <w:r w:rsidRPr="00B22450">
        <w:rPr>
          <w:rFonts w:ascii="Calibri" w:hAnsi="Calibri" w:cs="Calibri"/>
          <w:b/>
          <w:bCs/>
        </w:rPr>
        <w:t>AMEND PORTIONS OF CHAPTER 2.40 – STANDARDS</w:t>
      </w:r>
      <w:r w:rsidRPr="00B22450">
        <w:rPr>
          <w:rFonts w:ascii="Calibri" w:hAnsi="Calibri" w:cs="Calibri"/>
          <w:b/>
          <w:bCs/>
        </w:rPr>
        <w:tab/>
        <w:t>ORDINANCE 1364</w:t>
      </w:r>
      <w:r>
        <w:rPr>
          <w:rFonts w:ascii="Calibri" w:hAnsi="Calibri" w:cs="Calibri"/>
        </w:rPr>
        <w:br/>
      </w:r>
      <w:r>
        <w:rPr>
          <w:rFonts w:ascii="Calibri" w:hAnsi="Calibri" w:cs="Calibri"/>
          <w:b/>
          <w:bCs/>
        </w:rPr>
        <w:t xml:space="preserve">FOR </w:t>
      </w:r>
      <w:r w:rsidRPr="00B22450">
        <w:rPr>
          <w:rFonts w:ascii="Calibri" w:hAnsi="Calibri" w:cs="Calibri"/>
          <w:b/>
          <w:bCs/>
        </w:rPr>
        <w:t>PUBLIC DEFENSE – OF LEWIS COUNTY CODE</w:t>
      </w:r>
    </w:p>
    <w:p w14:paraId="5DB64909" w14:textId="77777777" w:rsidR="00B22450" w:rsidRDefault="00B22450" w:rsidP="008D4364">
      <w:pPr>
        <w:rPr>
          <w:rFonts w:ascii="Calibri" w:hAnsi="Calibri" w:cs="Calibri"/>
        </w:rPr>
      </w:pPr>
    </w:p>
    <w:p w14:paraId="2D53058E" w14:textId="20597FAE" w:rsidR="00B22450" w:rsidRDefault="00B22450" w:rsidP="008D4364">
      <w:pPr>
        <w:rPr>
          <w:rFonts w:ascii="Calibri" w:hAnsi="Calibri" w:cs="Calibri"/>
        </w:rPr>
      </w:pPr>
      <w:r w:rsidRPr="00B22450">
        <w:rPr>
          <w:rFonts w:ascii="Calibri" w:hAnsi="Calibri" w:cs="Calibri"/>
          <w:b/>
          <w:bCs/>
        </w:rPr>
        <w:t xml:space="preserve">WHEREAS, </w:t>
      </w:r>
      <w:r w:rsidRPr="00B22450">
        <w:rPr>
          <w:rFonts w:ascii="Calibri" w:hAnsi="Calibri" w:cs="Calibri"/>
        </w:rPr>
        <w:t>the</w:t>
      </w:r>
      <w:r>
        <w:rPr>
          <w:rFonts w:ascii="Calibri" w:hAnsi="Calibri" w:cs="Calibri"/>
          <w:b/>
          <w:bCs/>
        </w:rPr>
        <w:t xml:space="preserve"> </w:t>
      </w:r>
      <w:r w:rsidRPr="008D4364">
        <w:rPr>
          <w:rFonts w:ascii="Calibri" w:hAnsi="Calibri" w:cs="Calibri"/>
        </w:rPr>
        <w:t xml:space="preserve">Lewis </w:t>
      </w:r>
      <w:r>
        <w:rPr>
          <w:rFonts w:ascii="Calibri" w:hAnsi="Calibri" w:cs="Calibri"/>
        </w:rPr>
        <w:t>Board of County Commissioners (BOCC) established Chapter 2.40 – Standards for Public Defense – of Lewis County code via Ordinance 1199 in 2007 and later amended it via Ordinance 1341 in 2022</w:t>
      </w:r>
      <w:r w:rsidRPr="008D4364">
        <w:rPr>
          <w:rFonts w:ascii="Calibri" w:hAnsi="Calibri" w:cs="Calibri"/>
        </w:rPr>
        <w:t>; and</w:t>
      </w:r>
    </w:p>
    <w:p w14:paraId="68EB378F" w14:textId="6D14703B" w:rsidR="008D4364" w:rsidRPr="008D4364" w:rsidRDefault="008D4364" w:rsidP="008D4364">
      <w:pPr>
        <w:rPr>
          <w:rFonts w:ascii="Calibri" w:hAnsi="Calibri" w:cs="Calibri"/>
        </w:rPr>
      </w:pPr>
      <w:r w:rsidRPr="00B22450">
        <w:rPr>
          <w:rFonts w:ascii="Calibri" w:hAnsi="Calibri" w:cs="Calibri"/>
          <w:b/>
          <w:bCs/>
        </w:rPr>
        <w:t xml:space="preserve">WHEREAS, </w:t>
      </w:r>
      <w:r w:rsidRPr="008D4364">
        <w:rPr>
          <w:rFonts w:ascii="Calibri" w:hAnsi="Calibri" w:cs="Calibri"/>
        </w:rPr>
        <w:t xml:space="preserve">Lewis County Administration </w:t>
      </w:r>
      <w:r w:rsidR="00B22450">
        <w:rPr>
          <w:rFonts w:ascii="Calibri" w:hAnsi="Calibri" w:cs="Calibri"/>
        </w:rPr>
        <w:t>recommends</w:t>
      </w:r>
      <w:r w:rsidRPr="008D4364">
        <w:rPr>
          <w:rFonts w:ascii="Calibri" w:hAnsi="Calibri" w:cs="Calibri"/>
        </w:rPr>
        <w:t xml:space="preserve"> amend</w:t>
      </w:r>
      <w:r w:rsidR="00B22450">
        <w:rPr>
          <w:rFonts w:ascii="Calibri" w:hAnsi="Calibri" w:cs="Calibri"/>
        </w:rPr>
        <w:t>ing</w:t>
      </w:r>
      <w:r w:rsidRPr="008D4364">
        <w:rPr>
          <w:rFonts w:ascii="Calibri" w:hAnsi="Calibri" w:cs="Calibri"/>
        </w:rPr>
        <w:t xml:space="preserve"> Chapter 2.40, Standards for Public Defense Services to update the BOCC designation of authority over the management of the Public Defense Program; and</w:t>
      </w:r>
    </w:p>
    <w:p w14:paraId="62F5E6A2" w14:textId="79FA5FA9" w:rsidR="008D4364" w:rsidRPr="008D4364" w:rsidRDefault="008D4364" w:rsidP="008D4364">
      <w:pPr>
        <w:rPr>
          <w:rFonts w:ascii="Calibri" w:hAnsi="Calibri" w:cs="Calibri"/>
        </w:rPr>
      </w:pPr>
      <w:r w:rsidRPr="00B22450">
        <w:rPr>
          <w:rFonts w:ascii="Calibri" w:hAnsi="Calibri" w:cs="Calibri"/>
          <w:b/>
          <w:bCs/>
        </w:rPr>
        <w:t xml:space="preserve">WHEREAS, </w:t>
      </w:r>
      <w:r w:rsidR="00B22450">
        <w:rPr>
          <w:rFonts w:ascii="Calibri" w:hAnsi="Calibri" w:cs="Calibri"/>
        </w:rPr>
        <w:t xml:space="preserve">the BOCC passed Resolution </w:t>
      </w:r>
      <w:r w:rsidR="009145D2">
        <w:rPr>
          <w:rFonts w:ascii="Calibri" w:hAnsi="Calibri" w:cs="Calibri"/>
        </w:rPr>
        <w:t>25-123 on May 6, 2025,</w:t>
      </w:r>
      <w:r w:rsidR="00B22450">
        <w:rPr>
          <w:rFonts w:ascii="Calibri" w:hAnsi="Calibri" w:cs="Calibri"/>
        </w:rPr>
        <w:t xml:space="preserve"> setting </w:t>
      </w:r>
      <w:r w:rsidR="009145D2">
        <w:rPr>
          <w:rFonts w:ascii="Calibri" w:hAnsi="Calibri" w:cs="Calibri"/>
        </w:rPr>
        <w:t>a</w:t>
      </w:r>
      <w:r w:rsidR="00B22450">
        <w:rPr>
          <w:rFonts w:ascii="Calibri" w:hAnsi="Calibri" w:cs="Calibri"/>
        </w:rPr>
        <w:t xml:space="preserve"> hearing </w:t>
      </w:r>
      <w:r w:rsidR="009145D2">
        <w:rPr>
          <w:rFonts w:ascii="Calibri" w:hAnsi="Calibri" w:cs="Calibri"/>
        </w:rPr>
        <w:t xml:space="preserve">date </w:t>
      </w:r>
      <w:r w:rsidR="00B22450">
        <w:rPr>
          <w:rFonts w:ascii="Calibri" w:hAnsi="Calibri" w:cs="Calibri"/>
        </w:rPr>
        <w:t xml:space="preserve">for May </w:t>
      </w:r>
      <w:r w:rsidR="009145D2">
        <w:rPr>
          <w:rFonts w:ascii="Calibri" w:hAnsi="Calibri" w:cs="Calibri"/>
        </w:rPr>
        <w:t>20</w:t>
      </w:r>
      <w:r w:rsidR="00B22450">
        <w:rPr>
          <w:rFonts w:ascii="Calibri" w:hAnsi="Calibri" w:cs="Calibri"/>
        </w:rPr>
        <w:t xml:space="preserve">, 2025, and instructing the Clerk of the Board to </w:t>
      </w:r>
      <w:r w:rsidR="009145D2">
        <w:rPr>
          <w:rFonts w:ascii="Calibri" w:hAnsi="Calibri" w:cs="Calibri"/>
        </w:rPr>
        <w:t xml:space="preserve">proceed with advertisement of said hearing for proposed Ordinance 1364, which would </w:t>
      </w:r>
      <w:r w:rsidR="009145D2" w:rsidRPr="009145D2">
        <w:rPr>
          <w:rFonts w:ascii="Calibri" w:hAnsi="Calibri" w:cs="Calibri"/>
        </w:rPr>
        <w:t>the BOCC designation of authority over the management of the Public Defense Program</w:t>
      </w:r>
      <w:r w:rsidR="009145D2">
        <w:rPr>
          <w:rFonts w:ascii="Calibri" w:hAnsi="Calibri" w:cs="Calibri"/>
        </w:rPr>
        <w:t>.</w:t>
      </w:r>
    </w:p>
    <w:p w14:paraId="1DB60211" w14:textId="1534BDB9" w:rsidR="008D4364" w:rsidRPr="009145D2" w:rsidRDefault="008D4364" w:rsidP="009145D2">
      <w:pPr>
        <w:rPr>
          <w:rFonts w:ascii="Calibri" w:eastAsia="Times New Roman" w:hAnsi="Calibri" w:cs="Calibri"/>
          <w:color w:val="212529"/>
          <w:kern w:val="0"/>
          <w14:ligatures w14:val="none"/>
        </w:rPr>
      </w:pPr>
      <w:r w:rsidRPr="00B22450">
        <w:rPr>
          <w:rFonts w:ascii="Calibri" w:hAnsi="Calibri" w:cs="Calibri"/>
          <w:b/>
          <w:bCs/>
        </w:rPr>
        <w:t xml:space="preserve">NOW THEREFORE BE IT </w:t>
      </w:r>
      <w:r w:rsidRPr="00B22450">
        <w:rPr>
          <w:rFonts w:ascii="Calibri" w:hAnsi="Calibri" w:cs="Calibri"/>
          <w:b/>
          <w:bCs/>
        </w:rPr>
        <w:t xml:space="preserve">ORDAINED </w:t>
      </w:r>
      <w:r w:rsidR="00B22450" w:rsidRPr="00B22450">
        <w:rPr>
          <w:rFonts w:ascii="Calibri" w:hAnsi="Calibri" w:cs="Calibri"/>
        </w:rPr>
        <w:t>that the BOCC hereby adopts Chapter 2.40 of Lewis County Code as follows:</w:t>
      </w:r>
    </w:p>
    <w:p w14:paraId="7FE7A4B7" w14:textId="1D6E7CD0" w:rsidR="006C6F82" w:rsidRPr="008D4364" w:rsidRDefault="006C6F82" w:rsidP="006C6F82">
      <w:pPr>
        <w:shd w:val="clear" w:color="auto" w:fill="FFFFFF"/>
        <w:spacing w:before="240" w:after="240" w:line="240" w:lineRule="auto"/>
        <w:jc w:val="center"/>
        <w:outlineLvl w:val="1"/>
        <w:rPr>
          <w:rFonts w:ascii="Calibri" w:eastAsia="Times New Roman" w:hAnsi="Calibri" w:cs="Calibri"/>
          <w:b/>
          <w:bCs/>
          <w:color w:val="212529"/>
          <w:kern w:val="0"/>
          <w14:ligatures w14:val="none"/>
        </w:rPr>
      </w:pPr>
      <w:r w:rsidRPr="008D4364">
        <w:rPr>
          <w:rFonts w:ascii="Calibri" w:eastAsia="Times New Roman" w:hAnsi="Calibri" w:cs="Calibri"/>
          <w:b/>
          <w:bCs/>
          <w:color w:val="212529"/>
          <w:kern w:val="0"/>
          <w14:ligatures w14:val="none"/>
        </w:rPr>
        <w:t>Chapter 2.40</w:t>
      </w:r>
      <w:r w:rsidRPr="008D4364">
        <w:rPr>
          <w:rFonts w:ascii="Calibri" w:eastAsia="Times New Roman" w:hAnsi="Calibri" w:cs="Calibri"/>
          <w:b/>
          <w:bCs/>
          <w:color w:val="212529"/>
          <w:kern w:val="0"/>
          <w14:ligatures w14:val="none"/>
        </w:rPr>
        <w:br/>
        <w:t>STANDARDS FOR PUBLIC DEFENSE SERVICES</w:t>
      </w:r>
    </w:p>
    <w:p w14:paraId="74A6F73D" w14:textId="77777777" w:rsidR="006C6F82" w:rsidRPr="008D4364" w:rsidRDefault="006C6F82" w:rsidP="006C6F82">
      <w:pPr>
        <w:shd w:val="clear" w:color="auto" w:fill="FFFFFF"/>
        <w:spacing w:before="240"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Sections:</w:t>
      </w:r>
    </w:p>
    <w:p w14:paraId="4467DB9E"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7" w:anchor="!/LewisCounty02/LewisCounty0240.html#2.40.010" w:history="1">
        <w:r w:rsidRPr="008D4364">
          <w:rPr>
            <w:rFonts w:ascii="Calibri" w:eastAsia="Times New Roman" w:hAnsi="Calibri" w:cs="Calibri"/>
            <w:b/>
            <w:bCs/>
            <w:color w:val="0275D8"/>
            <w:kern w:val="0"/>
            <w:u w:val="single"/>
            <w14:ligatures w14:val="none"/>
          </w:rPr>
          <w:t>2.40.010    Summary.</w:t>
        </w:r>
      </w:hyperlink>
    </w:p>
    <w:p w14:paraId="5F610AFF"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8" w:anchor="!/LewisCounty02/LewisCounty0240.html#2.40.020" w:history="1">
        <w:r w:rsidRPr="008D4364">
          <w:rPr>
            <w:rFonts w:ascii="Calibri" w:eastAsia="Times New Roman" w:hAnsi="Calibri" w:cs="Calibri"/>
            <w:b/>
            <w:bCs/>
            <w:color w:val="0275D8"/>
            <w:kern w:val="0"/>
            <w:u w:val="single"/>
            <w14:ligatures w14:val="none"/>
          </w:rPr>
          <w:t>2.40.020    Introduction.</w:t>
        </w:r>
      </w:hyperlink>
    </w:p>
    <w:p w14:paraId="28EFC73C"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9" w:anchor="!/LewisCounty02/LewisCounty0240.html#2.40.030" w:history="1">
        <w:r w:rsidRPr="008D4364">
          <w:rPr>
            <w:rFonts w:ascii="Calibri" w:eastAsia="Times New Roman" w:hAnsi="Calibri" w:cs="Calibri"/>
            <w:b/>
            <w:bCs/>
            <w:color w:val="0275D8"/>
            <w:kern w:val="0"/>
            <w:u w:val="single"/>
            <w14:ligatures w14:val="none"/>
          </w:rPr>
          <w:t>2.40.030    Standard 1 - Compensation.</w:t>
        </w:r>
      </w:hyperlink>
    </w:p>
    <w:p w14:paraId="11BB002C"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0" w:anchor="!/LewisCounty02/LewisCounty0240.html#2.40.040" w:history="1">
        <w:r w:rsidRPr="008D4364">
          <w:rPr>
            <w:rFonts w:ascii="Calibri" w:eastAsia="Times New Roman" w:hAnsi="Calibri" w:cs="Calibri"/>
            <w:b/>
            <w:bCs/>
            <w:color w:val="0275D8"/>
            <w:kern w:val="0"/>
            <w:u w:val="single"/>
            <w14:ligatures w14:val="none"/>
          </w:rPr>
          <w:t>2.40.040    Standard 2 - Duties and responsibilities of counsel.</w:t>
        </w:r>
      </w:hyperlink>
    </w:p>
    <w:p w14:paraId="4E025460"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1" w:anchor="!/LewisCounty02/LewisCounty0240.html#2.40.050" w:history="1">
        <w:r w:rsidRPr="008D4364">
          <w:rPr>
            <w:rFonts w:ascii="Calibri" w:eastAsia="Times New Roman" w:hAnsi="Calibri" w:cs="Calibri"/>
            <w:b/>
            <w:bCs/>
            <w:color w:val="0275D8"/>
            <w:kern w:val="0"/>
            <w:u w:val="single"/>
            <w14:ligatures w14:val="none"/>
          </w:rPr>
          <w:t>2.40.050    Standard 3 - Caseload limits and types of cases.</w:t>
        </w:r>
      </w:hyperlink>
    </w:p>
    <w:p w14:paraId="4A6BD026"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2" w:anchor="!/LewisCounty02/LewisCounty0240.html#2.40.060" w:history="1">
        <w:r w:rsidRPr="008D4364">
          <w:rPr>
            <w:rFonts w:ascii="Calibri" w:eastAsia="Times New Roman" w:hAnsi="Calibri" w:cs="Calibri"/>
            <w:b/>
            <w:bCs/>
            <w:color w:val="0275D8"/>
            <w:kern w:val="0"/>
            <w:u w:val="single"/>
            <w14:ligatures w14:val="none"/>
          </w:rPr>
          <w:t>2.40.060    Standard 4 - Expert witnesses.</w:t>
        </w:r>
      </w:hyperlink>
    </w:p>
    <w:p w14:paraId="251D2383"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3" w:anchor="!/LewisCounty02/LewisCounty0240.html#2.40.070" w:history="1">
        <w:r w:rsidRPr="008D4364">
          <w:rPr>
            <w:rFonts w:ascii="Calibri" w:eastAsia="Times New Roman" w:hAnsi="Calibri" w:cs="Calibri"/>
            <w:b/>
            <w:bCs/>
            <w:color w:val="0275D8"/>
            <w:kern w:val="0"/>
            <w:u w:val="single"/>
            <w14:ligatures w14:val="none"/>
          </w:rPr>
          <w:t>2.40.070    Standard 5 - Administrative expenses.</w:t>
        </w:r>
      </w:hyperlink>
    </w:p>
    <w:p w14:paraId="69E82D08"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4" w:anchor="!/LewisCounty02/LewisCounty0240.html#2.40.080" w:history="1">
        <w:r w:rsidRPr="008D4364">
          <w:rPr>
            <w:rFonts w:ascii="Calibri" w:eastAsia="Times New Roman" w:hAnsi="Calibri" w:cs="Calibri"/>
            <w:b/>
            <w:bCs/>
            <w:color w:val="0275D8"/>
            <w:kern w:val="0"/>
            <w:u w:val="single"/>
            <w14:ligatures w14:val="none"/>
          </w:rPr>
          <w:t>2.40.080    Standard 6 - Investigators.</w:t>
        </w:r>
      </w:hyperlink>
    </w:p>
    <w:p w14:paraId="0B1480F3"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5" w:anchor="!/LewisCounty02/LewisCounty0240.html#2.40.090" w:history="1">
        <w:r w:rsidRPr="008D4364">
          <w:rPr>
            <w:rFonts w:ascii="Calibri" w:eastAsia="Times New Roman" w:hAnsi="Calibri" w:cs="Calibri"/>
            <w:b/>
            <w:bCs/>
            <w:color w:val="0275D8"/>
            <w:kern w:val="0"/>
            <w:u w:val="single"/>
            <w14:ligatures w14:val="none"/>
          </w:rPr>
          <w:t>2.40.090    Standard 7 - Support services.</w:t>
        </w:r>
      </w:hyperlink>
    </w:p>
    <w:p w14:paraId="2CA3931D"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6" w:anchor="!/LewisCounty02/LewisCounty0240.html#2.40.100" w:history="1">
        <w:r w:rsidRPr="008D4364">
          <w:rPr>
            <w:rFonts w:ascii="Calibri" w:eastAsia="Times New Roman" w:hAnsi="Calibri" w:cs="Calibri"/>
            <w:b/>
            <w:bCs/>
            <w:color w:val="0275D8"/>
            <w:kern w:val="0"/>
            <w:u w:val="single"/>
            <w14:ligatures w14:val="none"/>
          </w:rPr>
          <w:t>2.40.100    Standard 8 - Reports of attorney activity and vouchers.</w:t>
        </w:r>
      </w:hyperlink>
    </w:p>
    <w:p w14:paraId="1A4F9927"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7" w:anchor="!/LewisCounty02/LewisCounty0240.html#2.40.110" w:history="1">
        <w:r w:rsidRPr="008D4364">
          <w:rPr>
            <w:rFonts w:ascii="Calibri" w:eastAsia="Times New Roman" w:hAnsi="Calibri" w:cs="Calibri"/>
            <w:b/>
            <w:bCs/>
            <w:color w:val="0275D8"/>
            <w:kern w:val="0"/>
            <w:u w:val="single"/>
            <w14:ligatures w14:val="none"/>
          </w:rPr>
          <w:t>2.40.110    Standard 9 - Training.</w:t>
        </w:r>
      </w:hyperlink>
    </w:p>
    <w:p w14:paraId="7AB329EE"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8" w:anchor="!/LewisCounty02/LewisCounty0240.html#2.40.120" w:history="1">
        <w:r w:rsidRPr="008D4364">
          <w:rPr>
            <w:rFonts w:ascii="Calibri" w:eastAsia="Times New Roman" w:hAnsi="Calibri" w:cs="Calibri"/>
            <w:b/>
            <w:bCs/>
            <w:color w:val="0275D8"/>
            <w:kern w:val="0"/>
            <w:u w:val="single"/>
            <w14:ligatures w14:val="none"/>
          </w:rPr>
          <w:t>2.40.120    Standard 10 - Supervision standard.</w:t>
        </w:r>
      </w:hyperlink>
    </w:p>
    <w:p w14:paraId="465C9B94"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19" w:anchor="!/LewisCounty02/LewisCounty0240.html#2.40.130" w:history="1">
        <w:r w:rsidRPr="008D4364">
          <w:rPr>
            <w:rFonts w:ascii="Calibri" w:eastAsia="Times New Roman" w:hAnsi="Calibri" w:cs="Calibri"/>
            <w:b/>
            <w:bCs/>
            <w:color w:val="0275D8"/>
            <w:kern w:val="0"/>
            <w:u w:val="single"/>
            <w14:ligatures w14:val="none"/>
          </w:rPr>
          <w:t>2.40.130    Standard 11 - Monitoring and evaluation of attorneys.</w:t>
        </w:r>
      </w:hyperlink>
    </w:p>
    <w:p w14:paraId="69C94A04" w14:textId="77777777" w:rsidR="006C6F82" w:rsidRPr="008D4364" w:rsidRDefault="006C6F82" w:rsidP="006C6F82">
      <w:pPr>
        <w:shd w:val="clear" w:color="auto" w:fill="FFFFFF"/>
        <w:spacing w:after="0" w:line="240" w:lineRule="auto"/>
        <w:ind w:left="1680" w:hanging="1392"/>
        <w:textAlignment w:val="baseline"/>
        <w:rPr>
          <w:rFonts w:ascii="Calibri" w:eastAsia="Times New Roman" w:hAnsi="Calibri" w:cs="Calibri"/>
          <w:color w:val="212529"/>
          <w:kern w:val="0"/>
          <w14:ligatures w14:val="none"/>
        </w:rPr>
      </w:pPr>
      <w:hyperlink r:id="rId20" w:anchor="!/LewisCounty02/LewisCounty0240.html#2.40.140" w:history="1">
        <w:r w:rsidRPr="008D4364">
          <w:rPr>
            <w:rFonts w:ascii="Calibri" w:eastAsia="Times New Roman" w:hAnsi="Calibri" w:cs="Calibri"/>
            <w:b/>
            <w:bCs/>
            <w:color w:val="0275D8"/>
            <w:kern w:val="0"/>
            <w:u w:val="single"/>
            <w14:ligatures w14:val="none"/>
          </w:rPr>
          <w:t>2.40.140    Standard 12 - Substitution of attorneys.</w:t>
        </w:r>
      </w:hyperlink>
    </w:p>
    <w:p w14:paraId="6A295FB4"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0" w:name="2.40.010"/>
      <w:r w:rsidRPr="008D4364">
        <w:rPr>
          <w:rFonts w:ascii="Calibri" w:eastAsia="Times New Roman" w:hAnsi="Calibri" w:cs="Calibri"/>
          <w:b/>
          <w:bCs/>
          <w:color w:val="212529"/>
          <w:kern w:val="0"/>
          <w14:ligatures w14:val="none"/>
        </w:rPr>
        <w:t>2.40.010</w:t>
      </w:r>
      <w:bookmarkEnd w:id="0"/>
      <w:r w:rsidRPr="008D4364">
        <w:rPr>
          <w:rFonts w:ascii="Calibri" w:eastAsia="Times New Roman" w:hAnsi="Calibri" w:cs="Calibri"/>
          <w:b/>
          <w:bCs/>
          <w:color w:val="212529"/>
          <w:kern w:val="0"/>
          <w14:ligatures w14:val="none"/>
        </w:rPr>
        <w:t> Summary.</w:t>
      </w:r>
    </w:p>
    <w:p w14:paraId="50497DF1" w14:textId="7CA6AD2B"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Objectives and minimum requirements for providing legal representation to </w:t>
      </w:r>
      <w:r w:rsidR="00A96CFD" w:rsidRPr="008D4364">
        <w:rPr>
          <w:rFonts w:ascii="Calibri" w:eastAsia="Times New Roman" w:hAnsi="Calibri" w:cs="Calibri"/>
          <w:color w:val="212529"/>
          <w:kern w:val="0"/>
          <w14:ligatures w14:val="none"/>
        </w:rPr>
        <w:t xml:space="preserve">indigent </w:t>
      </w:r>
      <w:r w:rsidRPr="008D4364">
        <w:rPr>
          <w:rFonts w:ascii="Calibri" w:eastAsia="Times New Roman" w:hAnsi="Calibri" w:cs="Calibri"/>
          <w:color w:val="212529"/>
          <w:kern w:val="0"/>
          <w14:ligatures w14:val="none"/>
        </w:rPr>
        <w:t>persons accused of crimes or facing juvenile or civil commitment proceedings in Lewis County.</w:t>
      </w:r>
    </w:p>
    <w:p w14:paraId="2E716290"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1" w:name="2.40.020"/>
      <w:r w:rsidRPr="008D4364">
        <w:rPr>
          <w:rFonts w:ascii="Calibri" w:eastAsia="Times New Roman" w:hAnsi="Calibri" w:cs="Calibri"/>
          <w:b/>
          <w:bCs/>
          <w:color w:val="212529"/>
          <w:kern w:val="0"/>
          <w14:ligatures w14:val="none"/>
        </w:rPr>
        <w:lastRenderedPageBreak/>
        <w:t>2.40.020</w:t>
      </w:r>
      <w:bookmarkEnd w:id="1"/>
      <w:r w:rsidRPr="008D4364">
        <w:rPr>
          <w:rFonts w:ascii="Calibri" w:eastAsia="Times New Roman" w:hAnsi="Calibri" w:cs="Calibri"/>
          <w:b/>
          <w:bCs/>
          <w:color w:val="212529"/>
          <w:kern w:val="0"/>
          <w14:ligatures w14:val="none"/>
        </w:rPr>
        <w:t> Introduction.</w:t>
      </w:r>
    </w:p>
    <w:p w14:paraId="4EDF0A40" w14:textId="494F2762"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These standards represent the efforts of Lewis County to address the problems of providing legal representation to </w:t>
      </w:r>
      <w:r w:rsidR="00A96CFD" w:rsidRPr="008D4364">
        <w:rPr>
          <w:rFonts w:ascii="Calibri" w:eastAsia="Times New Roman" w:hAnsi="Calibri" w:cs="Calibri"/>
          <w:color w:val="212529"/>
          <w:kern w:val="0"/>
          <w14:ligatures w14:val="none"/>
        </w:rPr>
        <w:t xml:space="preserve">indigent </w:t>
      </w:r>
      <w:r w:rsidRPr="008D4364">
        <w:rPr>
          <w:rFonts w:ascii="Calibri" w:eastAsia="Times New Roman" w:hAnsi="Calibri" w:cs="Calibri"/>
          <w:color w:val="212529"/>
          <w:kern w:val="0"/>
          <w14:ligatures w14:val="none"/>
        </w:rPr>
        <w:t>persons accused of crimes, or facing juvenile or civil commitment proceedings, and to comply with the requirements of RCW </w:t>
      </w:r>
      <w:hyperlink r:id="rId21" w:tgtFrame="_blank" w:history="1">
        <w:r w:rsidRPr="008D4364">
          <w:rPr>
            <w:rFonts w:ascii="Calibri" w:eastAsia="Times New Roman" w:hAnsi="Calibri" w:cs="Calibri"/>
            <w:color w:val="0275D8"/>
            <w:kern w:val="0"/>
            <w:u w:val="single"/>
            <w14:ligatures w14:val="none"/>
          </w:rPr>
          <w:t>10.101.030</w:t>
        </w:r>
      </w:hyperlink>
      <w:r w:rsidRPr="008D4364">
        <w:rPr>
          <w:rFonts w:ascii="Calibri" w:eastAsia="Times New Roman" w:hAnsi="Calibri" w:cs="Calibri"/>
          <w:color w:val="212529"/>
          <w:kern w:val="0"/>
          <w14:ligatures w14:val="none"/>
        </w:rPr>
        <w:t xml:space="preserve">. Drawing on the practical experience of defense attorneys around the state and on existing state and national standards which set forth the objectives and minimum requirements for public defender and assigned counsel programs, these standards are intended to help the board of county commissioners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xml:space="preserve">, and in consultation with the </w:t>
      </w:r>
      <w:r w:rsidR="00A96CFD" w:rsidRPr="008D4364">
        <w:rPr>
          <w:rFonts w:ascii="Calibri" w:eastAsia="Times New Roman" w:hAnsi="Calibri" w:cs="Calibri"/>
          <w:color w:val="212529"/>
          <w:kern w:val="0"/>
          <w14:ligatures w14:val="none"/>
        </w:rPr>
        <w:t>J</w:t>
      </w:r>
      <w:r w:rsidRPr="008D4364">
        <w:rPr>
          <w:rFonts w:ascii="Calibri" w:eastAsia="Times New Roman" w:hAnsi="Calibri" w:cs="Calibri"/>
          <w:color w:val="212529"/>
          <w:kern w:val="0"/>
          <w14:ligatures w14:val="none"/>
        </w:rPr>
        <w:t xml:space="preserve">udges of the </w:t>
      </w:r>
      <w:r w:rsidR="00A96CFD" w:rsidRPr="008D4364">
        <w:rPr>
          <w:rFonts w:ascii="Calibri" w:eastAsia="Times New Roman" w:hAnsi="Calibri" w:cs="Calibri"/>
          <w:color w:val="212529"/>
          <w:kern w:val="0"/>
          <w14:ligatures w14:val="none"/>
        </w:rPr>
        <w:t>S</w:t>
      </w:r>
      <w:r w:rsidRPr="008D4364">
        <w:rPr>
          <w:rFonts w:ascii="Calibri" w:eastAsia="Times New Roman" w:hAnsi="Calibri" w:cs="Calibri"/>
          <w:color w:val="212529"/>
          <w:kern w:val="0"/>
          <w14:ligatures w14:val="none"/>
        </w:rPr>
        <w:t xml:space="preserve">uperior </w:t>
      </w:r>
      <w:r w:rsidR="00A96CFD" w:rsidRPr="008D4364">
        <w:rPr>
          <w:rFonts w:ascii="Calibri" w:eastAsia="Times New Roman" w:hAnsi="Calibri" w:cs="Calibri"/>
          <w:color w:val="212529"/>
          <w:kern w:val="0"/>
          <w14:ligatures w14:val="none"/>
        </w:rPr>
        <w:t>C</w:t>
      </w:r>
      <w:r w:rsidRPr="008D4364">
        <w:rPr>
          <w:rFonts w:ascii="Calibri" w:eastAsia="Times New Roman" w:hAnsi="Calibri" w:cs="Calibri"/>
          <w:color w:val="212529"/>
          <w:kern w:val="0"/>
          <w14:ligatures w14:val="none"/>
        </w:rPr>
        <w:t>ourt, establish a public defense system which operates efficiently and meets the federal and state constitutional requirements for effective assistance of counsel.</w:t>
      </w:r>
    </w:p>
    <w:p w14:paraId="5D990E38"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2" w:name="2.40.030"/>
      <w:r w:rsidRPr="008D4364">
        <w:rPr>
          <w:rFonts w:ascii="Calibri" w:eastAsia="Times New Roman" w:hAnsi="Calibri" w:cs="Calibri"/>
          <w:b/>
          <w:bCs/>
          <w:color w:val="212529"/>
          <w:kern w:val="0"/>
          <w14:ligatures w14:val="none"/>
        </w:rPr>
        <w:t>2.40.030</w:t>
      </w:r>
      <w:bookmarkEnd w:id="2"/>
      <w:r w:rsidRPr="008D4364">
        <w:rPr>
          <w:rFonts w:ascii="Calibri" w:eastAsia="Times New Roman" w:hAnsi="Calibri" w:cs="Calibri"/>
          <w:b/>
          <w:bCs/>
          <w:color w:val="212529"/>
          <w:kern w:val="0"/>
          <w14:ligatures w14:val="none"/>
        </w:rPr>
        <w:t> Standard 1 - Compensation.</w:t>
      </w:r>
    </w:p>
    <w:p w14:paraId="53C3536F" w14:textId="77777777"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Reasonable compensation shall be provided to private attorneys who enter into contracts with Lewis County to serve as public defenders. Compensation will reflect the time and labor required to be spent by the attorney and the degree of professional experience demanded by the case. Counsel shall be compensated for out-of-pocket expenses.</w:t>
      </w:r>
    </w:p>
    <w:p w14:paraId="0764A20B" w14:textId="6087803A"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Contracts shall provide for the payment of extraordinary compensation over and above the normal contract terms for cases which require an extraordinary amount of time and preparation, including, but not limited to, death penalty cases. Services which require extraordinary fees should be defined in the contract. </w:t>
      </w:r>
    </w:p>
    <w:p w14:paraId="3AA935DF"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3" w:name="2.40.040"/>
      <w:r w:rsidRPr="008D4364">
        <w:rPr>
          <w:rFonts w:ascii="Calibri" w:eastAsia="Times New Roman" w:hAnsi="Calibri" w:cs="Calibri"/>
          <w:b/>
          <w:bCs/>
          <w:color w:val="212529"/>
          <w:kern w:val="0"/>
          <w14:ligatures w14:val="none"/>
        </w:rPr>
        <w:t>2.40.040</w:t>
      </w:r>
      <w:bookmarkEnd w:id="3"/>
      <w:r w:rsidRPr="008D4364">
        <w:rPr>
          <w:rFonts w:ascii="Calibri" w:eastAsia="Times New Roman" w:hAnsi="Calibri" w:cs="Calibri"/>
          <w:b/>
          <w:bCs/>
          <w:color w:val="212529"/>
          <w:kern w:val="0"/>
          <w14:ligatures w14:val="none"/>
        </w:rPr>
        <w:t> Standard 2 - Duties and responsibilities of counsel.</w:t>
      </w:r>
    </w:p>
    <w:p w14:paraId="0884767F" w14:textId="6124EC3B"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The contract shall require that defense services be provided to all clients in a professional, skilled manner consistent with minimum standards set forth by the Washington State Bar Association for public defense, the American Bar Association standards, the Washington Rules of Professional Conduct, case law and applicable court rules defining the duties of counsel and the rights of defendants in criminal cases. Counsel’s primary and most fundamental responsibility is to promote and protect the best interests of the client. </w:t>
      </w:r>
    </w:p>
    <w:p w14:paraId="5CC28861"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4" w:name="2.40.050"/>
      <w:r w:rsidRPr="008D4364">
        <w:rPr>
          <w:rFonts w:ascii="Calibri" w:eastAsia="Times New Roman" w:hAnsi="Calibri" w:cs="Calibri"/>
          <w:b/>
          <w:bCs/>
          <w:color w:val="212529"/>
          <w:kern w:val="0"/>
          <w14:ligatures w14:val="none"/>
        </w:rPr>
        <w:t>2.40.050</w:t>
      </w:r>
      <w:bookmarkEnd w:id="4"/>
      <w:r w:rsidRPr="008D4364">
        <w:rPr>
          <w:rFonts w:ascii="Calibri" w:eastAsia="Times New Roman" w:hAnsi="Calibri" w:cs="Calibri"/>
          <w:b/>
          <w:bCs/>
          <w:color w:val="212529"/>
          <w:kern w:val="0"/>
          <w14:ligatures w14:val="none"/>
        </w:rPr>
        <w:t> Standard 3 - Caseload limits and types of cases.</w:t>
      </w:r>
    </w:p>
    <w:p w14:paraId="2DF6CB74" w14:textId="77777777"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The contract shall specify the types of cases for which representation shall be provided and the maximum number of cases which each attorney shall be expected to handle. The caseload of public defense attorneys should allow each lawyer to give each client the time and effort necessary to ensure effective representation. Contract attorneys shall not accept workloads that, by reason of their excessive size, interfere with the rendering of quality representation.</w:t>
      </w:r>
    </w:p>
    <w:p w14:paraId="6FE7EF4A" w14:textId="77777777"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The caseload of a contract public defender should not exceed the following:</w:t>
      </w:r>
    </w:p>
    <w:p w14:paraId="2FD3D508" w14:textId="342FF322" w:rsidR="006C6F82" w:rsidRPr="008D4364" w:rsidRDefault="006C6F82" w:rsidP="008D4364">
      <w:pPr>
        <w:pStyle w:val="ListParagraph"/>
        <w:numPr>
          <w:ilvl w:val="0"/>
          <w:numId w:val="2"/>
        </w:num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One hundred fifty felonies per attorney per year; or</w:t>
      </w:r>
    </w:p>
    <w:p w14:paraId="6CA06427" w14:textId="09C0AE84" w:rsidR="006C6F82" w:rsidRPr="008D4364" w:rsidRDefault="006C6F82" w:rsidP="008D4364">
      <w:pPr>
        <w:pStyle w:val="ListParagraph"/>
        <w:numPr>
          <w:ilvl w:val="0"/>
          <w:numId w:val="2"/>
        </w:num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Three hundred gross misdemeanors and/or misdemeanors per attorney per year; or</w:t>
      </w:r>
    </w:p>
    <w:p w14:paraId="602F1A9C" w14:textId="7761E285" w:rsidR="006C6F82" w:rsidRPr="008D4364" w:rsidRDefault="006C6F82" w:rsidP="008D4364">
      <w:pPr>
        <w:pStyle w:val="ListParagraph"/>
        <w:numPr>
          <w:ilvl w:val="0"/>
          <w:numId w:val="2"/>
        </w:num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Two hundred fifty juvenile offender cases per attorney per year; or</w:t>
      </w:r>
    </w:p>
    <w:p w14:paraId="0A1CC8FD" w14:textId="60B25CA0" w:rsidR="006C6F82" w:rsidRPr="008D4364" w:rsidRDefault="006C6F82" w:rsidP="008D4364">
      <w:pPr>
        <w:pStyle w:val="ListParagraph"/>
        <w:numPr>
          <w:ilvl w:val="0"/>
          <w:numId w:val="2"/>
        </w:num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Eighty open juvenile dependency clients per attorney per year; or</w:t>
      </w:r>
    </w:p>
    <w:p w14:paraId="0D573E1F" w14:textId="17CA31FB" w:rsidR="006C6F82" w:rsidRPr="008D4364" w:rsidRDefault="006C6F82" w:rsidP="008D4364">
      <w:pPr>
        <w:pStyle w:val="ListParagraph"/>
        <w:numPr>
          <w:ilvl w:val="0"/>
          <w:numId w:val="2"/>
        </w:num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lastRenderedPageBreak/>
        <w:t>Two hundred fifty civil commitment cases per attorney per year; or</w:t>
      </w:r>
    </w:p>
    <w:p w14:paraId="66F6E52E" w14:textId="0F1EC96A" w:rsidR="006C6F82" w:rsidRPr="008D4364" w:rsidRDefault="006C6F82" w:rsidP="008D4364">
      <w:pPr>
        <w:pStyle w:val="ListParagraph"/>
        <w:numPr>
          <w:ilvl w:val="0"/>
          <w:numId w:val="2"/>
        </w:num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Thirty-six appeals to appellate court hearing a case on the record and briefs per attorney per year.</w:t>
      </w:r>
    </w:p>
    <w:p w14:paraId="28C2FF36" w14:textId="77777777"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A “case” is defined as a filing of a document with the court naming a person as defendant or respondent.</w:t>
      </w:r>
    </w:p>
    <w:p w14:paraId="5BC58ADD" w14:textId="77777777"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Lewis County has adopted a case weighting for gross misdemeanor and misdemeanor cases to be structured as follows:</w:t>
      </w:r>
    </w:p>
    <w:tbl>
      <w:tblPr>
        <w:tblW w:w="9600"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
      </w:tblPr>
      <w:tblGrid>
        <w:gridCol w:w="7417"/>
        <w:gridCol w:w="2183"/>
      </w:tblGrid>
      <w:tr w:rsidR="006C6F82" w:rsidRPr="008D4364" w14:paraId="2F4B6FEF" w14:textId="77777777" w:rsidTr="006C6F82">
        <w:trPr>
          <w:tblHeader/>
        </w:trPr>
        <w:tc>
          <w:tcPr>
            <w:tcW w:w="70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6D2EBB" w14:textId="77777777" w:rsidR="006C6F82" w:rsidRPr="008D4364" w:rsidRDefault="006C6F82" w:rsidP="006C6F82">
            <w:pPr>
              <w:spacing w:after="0" w:line="240" w:lineRule="auto"/>
              <w:jc w:val="center"/>
              <w:textAlignment w:val="baseline"/>
              <w:rPr>
                <w:rFonts w:ascii="Calibri" w:eastAsia="Times New Roman" w:hAnsi="Calibri" w:cs="Calibri"/>
                <w:b/>
                <w:bCs/>
                <w:color w:val="212529"/>
                <w:kern w:val="0"/>
                <w14:ligatures w14:val="none"/>
              </w:rPr>
            </w:pPr>
            <w:r w:rsidRPr="008D4364">
              <w:rPr>
                <w:rFonts w:ascii="Calibri" w:eastAsia="Times New Roman" w:hAnsi="Calibri" w:cs="Calibri"/>
                <w:b/>
                <w:bCs/>
                <w:color w:val="212529"/>
                <w:kern w:val="0"/>
                <w14:ligatures w14:val="none"/>
              </w:rPr>
              <w:t>Type of Case</w:t>
            </w:r>
          </w:p>
        </w:tc>
        <w:tc>
          <w:tcPr>
            <w:tcW w:w="260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A68BBC" w14:textId="77777777" w:rsidR="006C6F82" w:rsidRPr="008D4364" w:rsidRDefault="006C6F82" w:rsidP="006C6F82">
            <w:pPr>
              <w:spacing w:after="0" w:line="240" w:lineRule="auto"/>
              <w:jc w:val="center"/>
              <w:textAlignment w:val="baseline"/>
              <w:rPr>
                <w:rFonts w:ascii="Calibri" w:eastAsia="Times New Roman" w:hAnsi="Calibri" w:cs="Calibri"/>
                <w:b/>
                <w:bCs/>
                <w:color w:val="212529"/>
                <w:kern w:val="0"/>
                <w14:ligatures w14:val="none"/>
              </w:rPr>
            </w:pPr>
            <w:r w:rsidRPr="008D4364">
              <w:rPr>
                <w:rFonts w:ascii="Calibri" w:eastAsia="Times New Roman" w:hAnsi="Calibri" w:cs="Calibri"/>
                <w:b/>
                <w:bCs/>
                <w:color w:val="212529"/>
                <w:kern w:val="0"/>
                <w14:ligatures w14:val="none"/>
              </w:rPr>
              <w:t>Number of Case Units</w:t>
            </w:r>
          </w:p>
        </w:tc>
      </w:tr>
      <w:tr w:rsidR="006C6F82" w:rsidRPr="008D4364" w14:paraId="7D26840C"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C11E5FC"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Driving under the influence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5B0DD4C"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Two</w:t>
            </w:r>
          </w:p>
        </w:tc>
      </w:tr>
      <w:tr w:rsidR="006C6F82" w:rsidRPr="008D4364" w14:paraId="2C3C6D1A"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9A4BF96"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Cases filed as domestic violence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56C7D1"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Two</w:t>
            </w:r>
          </w:p>
        </w:tc>
      </w:tr>
      <w:tr w:rsidR="006C6F82" w:rsidRPr="008D4364" w14:paraId="5A3C4345"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323F8F"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All other types of cases not listed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3BD24DF"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One</w:t>
            </w:r>
          </w:p>
        </w:tc>
      </w:tr>
      <w:tr w:rsidR="006C6F82" w:rsidRPr="008D4364" w14:paraId="7C990D75"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4ED9A1D" w14:textId="3DEE4283"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Driving with license suspended</w:t>
            </w:r>
            <w:r w:rsidR="00A96CFD" w:rsidRPr="008D4364">
              <w:rPr>
                <w:rFonts w:ascii="Calibri" w:eastAsia="Times New Roman" w:hAnsi="Calibri" w:cs="Calibri"/>
                <w:color w:val="212529"/>
                <w:kern w:val="0"/>
                <w14:ligatures w14:val="none"/>
              </w:rPr>
              <w:t xml:space="preserve"> in the third degree</w:t>
            </w:r>
            <w:r w:rsidRPr="008D4364">
              <w:rPr>
                <w:rFonts w:ascii="Calibri" w:eastAsia="Times New Roman" w:hAnsi="Calibri" w:cs="Calibri"/>
                <w:color w:val="212529"/>
                <w:kern w:val="0"/>
                <w14:ligatures w14:val="none"/>
              </w:rPr>
              <w:t xml:space="preserve"> or no valid operator’s license without identification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A3E2187"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One-half</w:t>
            </w:r>
          </w:p>
        </w:tc>
      </w:tr>
      <w:tr w:rsidR="006C6F82" w:rsidRPr="008D4364" w14:paraId="6DD588EB" w14:textId="77777777" w:rsidTr="006C6F82">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6A64468"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Newly appointed post-conviction show cause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39B09D9" w14:textId="77777777" w:rsidR="006C6F82" w:rsidRPr="008D4364" w:rsidRDefault="006C6F82" w:rsidP="006C6F82">
            <w:pPr>
              <w:spacing w:after="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One-third</w:t>
            </w:r>
          </w:p>
        </w:tc>
      </w:tr>
    </w:tbl>
    <w:p w14:paraId="33F29D54" w14:textId="792E4B65"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Caseload limits are determined by the number and type of cases being accepted and on the prosecutor’s charging and plea-bargaining practices. Since contract public defenders may also maintain private law practices, the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shall ensure that attorneys not be assigned more cases than they can reasonably discharge. In these situations, the caseload ceiling should be based on the percentage of time the lawyer devotes to public defense.</w:t>
      </w:r>
    </w:p>
    <w:p w14:paraId="7D8A6007"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5" w:name="2.40.060"/>
      <w:r w:rsidRPr="008D4364">
        <w:rPr>
          <w:rFonts w:ascii="Calibri" w:eastAsia="Times New Roman" w:hAnsi="Calibri" w:cs="Calibri"/>
          <w:b/>
          <w:bCs/>
          <w:color w:val="212529"/>
          <w:kern w:val="0"/>
          <w14:ligatures w14:val="none"/>
        </w:rPr>
        <w:t>2.40.060</w:t>
      </w:r>
      <w:bookmarkEnd w:id="5"/>
      <w:r w:rsidRPr="008D4364">
        <w:rPr>
          <w:rFonts w:ascii="Calibri" w:eastAsia="Times New Roman" w:hAnsi="Calibri" w:cs="Calibri"/>
          <w:b/>
          <w:bCs/>
          <w:color w:val="212529"/>
          <w:kern w:val="0"/>
          <w14:ligatures w14:val="none"/>
        </w:rPr>
        <w:t> Standard 4 - Expert witnesses.</w:t>
      </w:r>
    </w:p>
    <w:p w14:paraId="4092D571" w14:textId="152B6FCC"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Reasonable compensation for expert witnesses necessary to preparation and presentation of the defense case shall be provided. Expert witness fees should be maintained and allocated from funds separate from those provided for defender services. Requests for expert witness fees under CrR 3.1 (f) and CrRLJ 3.1 (f) should be made by motion. The defense should be free to retain the expert of its choosing and in no cases should be forced to select experts from a list pre-approved by the BOCC, the court or the prosecution. </w:t>
      </w:r>
    </w:p>
    <w:p w14:paraId="5C133547"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6" w:name="2.40.070"/>
      <w:r w:rsidRPr="008D4364">
        <w:rPr>
          <w:rFonts w:ascii="Calibri" w:eastAsia="Times New Roman" w:hAnsi="Calibri" w:cs="Calibri"/>
          <w:b/>
          <w:bCs/>
          <w:color w:val="212529"/>
          <w:kern w:val="0"/>
          <w14:ligatures w14:val="none"/>
        </w:rPr>
        <w:t>2.40.070</w:t>
      </w:r>
      <w:bookmarkEnd w:id="6"/>
      <w:r w:rsidRPr="008D4364">
        <w:rPr>
          <w:rFonts w:ascii="Calibri" w:eastAsia="Times New Roman" w:hAnsi="Calibri" w:cs="Calibri"/>
          <w:b/>
          <w:bCs/>
          <w:color w:val="212529"/>
          <w:kern w:val="0"/>
          <w14:ligatures w14:val="none"/>
        </w:rPr>
        <w:t> Standard 5 - Administrative expenses.</w:t>
      </w:r>
    </w:p>
    <w:p w14:paraId="67EFCDD7" w14:textId="3E6C9630"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In addition to establishing a reasonable fee for legal services provided, contracts to provide public defense services should take into consideration the administrative costs associated with providing legal representation. These costs may include travel, telephones, law library, financial accounting, case management systems, the reporting requirements imposed by these standards, and other costs necessarily incurred in the day to day management of the contract. </w:t>
      </w:r>
    </w:p>
    <w:p w14:paraId="75B8A444"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7" w:name="2.40.080"/>
      <w:r w:rsidRPr="008D4364">
        <w:rPr>
          <w:rFonts w:ascii="Calibri" w:eastAsia="Times New Roman" w:hAnsi="Calibri" w:cs="Calibri"/>
          <w:b/>
          <w:bCs/>
          <w:color w:val="212529"/>
          <w:kern w:val="0"/>
          <w14:ligatures w14:val="none"/>
        </w:rPr>
        <w:t>2.40.080</w:t>
      </w:r>
      <w:bookmarkEnd w:id="7"/>
      <w:r w:rsidRPr="008D4364">
        <w:rPr>
          <w:rFonts w:ascii="Calibri" w:eastAsia="Times New Roman" w:hAnsi="Calibri" w:cs="Calibri"/>
          <w:b/>
          <w:bCs/>
          <w:color w:val="212529"/>
          <w:kern w:val="0"/>
          <w14:ligatures w14:val="none"/>
        </w:rPr>
        <w:t> Standard 6 - Investigators.</w:t>
      </w:r>
    </w:p>
    <w:p w14:paraId="4782CBE0" w14:textId="66CA884D"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Public defenders under contract to provide representation for </w:t>
      </w:r>
      <w:r w:rsidR="00A96CFD" w:rsidRPr="008D4364">
        <w:rPr>
          <w:rFonts w:ascii="Calibri" w:eastAsia="Times New Roman" w:hAnsi="Calibri" w:cs="Calibri"/>
          <w:color w:val="212529"/>
          <w:kern w:val="0"/>
          <w14:ligatures w14:val="none"/>
        </w:rPr>
        <w:t xml:space="preserve">indigent </w:t>
      </w:r>
      <w:r w:rsidRPr="008D4364">
        <w:rPr>
          <w:rFonts w:ascii="Calibri" w:eastAsia="Times New Roman" w:hAnsi="Calibri" w:cs="Calibri"/>
          <w:color w:val="212529"/>
          <w:kern w:val="0"/>
          <w14:ligatures w14:val="none"/>
        </w:rPr>
        <w:t xml:space="preserve">people accused of crimes should employ investigators with criminal investigation training and experience, where appropriate, in </w:t>
      </w:r>
      <w:r w:rsidRPr="008D4364">
        <w:rPr>
          <w:rFonts w:ascii="Calibri" w:eastAsia="Times New Roman" w:hAnsi="Calibri" w:cs="Calibri"/>
          <w:color w:val="212529"/>
          <w:kern w:val="0"/>
          <w14:ligatures w14:val="none"/>
        </w:rPr>
        <w:lastRenderedPageBreak/>
        <w:t xml:space="preserve">providing legal representation in conformity with the ABA and WSBA standards. Said public defenders shall be reimbursed for the expense of the same upon motion showing need for same. </w:t>
      </w:r>
    </w:p>
    <w:p w14:paraId="7FD41DEC"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8" w:name="2.40.090"/>
      <w:r w:rsidRPr="008D4364">
        <w:rPr>
          <w:rFonts w:ascii="Calibri" w:eastAsia="Times New Roman" w:hAnsi="Calibri" w:cs="Calibri"/>
          <w:b/>
          <w:bCs/>
          <w:color w:val="212529"/>
          <w:kern w:val="0"/>
          <w14:ligatures w14:val="none"/>
        </w:rPr>
        <w:t>2.40.090</w:t>
      </w:r>
      <w:bookmarkEnd w:id="8"/>
      <w:r w:rsidRPr="008D4364">
        <w:rPr>
          <w:rFonts w:ascii="Calibri" w:eastAsia="Times New Roman" w:hAnsi="Calibri" w:cs="Calibri"/>
          <w:b/>
          <w:bCs/>
          <w:color w:val="212529"/>
          <w:kern w:val="0"/>
          <w14:ligatures w14:val="none"/>
        </w:rPr>
        <w:t> Standard 7 - Support services.</w:t>
      </w:r>
    </w:p>
    <w:p w14:paraId="078CE6DE" w14:textId="02DBDC26"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The contract should provide for the cost of access to social work staff, mental health professionals and other support services. These professionals are essential to ensure the effective performance of defense counsel during trial preparation, in the preparation of dispositional plans, and at sentencing.</w:t>
      </w:r>
    </w:p>
    <w:p w14:paraId="43817723"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9" w:name="2.40.100"/>
      <w:r w:rsidRPr="008D4364">
        <w:rPr>
          <w:rFonts w:ascii="Calibri" w:eastAsia="Times New Roman" w:hAnsi="Calibri" w:cs="Calibri"/>
          <w:b/>
          <w:bCs/>
          <w:color w:val="212529"/>
          <w:kern w:val="0"/>
          <w14:ligatures w14:val="none"/>
        </w:rPr>
        <w:t>2.40.100</w:t>
      </w:r>
      <w:bookmarkEnd w:id="9"/>
      <w:r w:rsidRPr="008D4364">
        <w:rPr>
          <w:rFonts w:ascii="Calibri" w:eastAsia="Times New Roman" w:hAnsi="Calibri" w:cs="Calibri"/>
          <w:b/>
          <w:bCs/>
          <w:color w:val="212529"/>
          <w:kern w:val="0"/>
          <w14:ligatures w14:val="none"/>
        </w:rPr>
        <w:t> Standard 8 - Reports of attorney activity and vouchers.</w:t>
      </w:r>
    </w:p>
    <w:p w14:paraId="58C46529" w14:textId="5BC90FCF"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Each contract public defender or his/her office shall maintain a case-reporting and management information system which includes number and type of cases, attorney hours and disposition. This information shall be provided regularly to the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xml:space="preserve">, for criminal defense services and shall also be made available to the office of the </w:t>
      </w:r>
      <w:r w:rsidR="00A96CFD" w:rsidRPr="008D4364">
        <w:rPr>
          <w:rFonts w:ascii="Calibri" w:eastAsia="Times New Roman" w:hAnsi="Calibri" w:cs="Calibri"/>
          <w:color w:val="212529"/>
          <w:kern w:val="0"/>
          <w14:ligatures w14:val="none"/>
        </w:rPr>
        <w:t>A</w:t>
      </w:r>
      <w:r w:rsidRPr="008D4364">
        <w:rPr>
          <w:rFonts w:ascii="Calibri" w:eastAsia="Times New Roman" w:hAnsi="Calibri" w:cs="Calibri"/>
          <w:color w:val="212529"/>
          <w:kern w:val="0"/>
          <w14:ligatures w14:val="none"/>
        </w:rPr>
        <w:t xml:space="preserve">dministrator of the </w:t>
      </w:r>
      <w:r w:rsidR="00A96CFD" w:rsidRPr="008D4364">
        <w:rPr>
          <w:rFonts w:ascii="Calibri" w:eastAsia="Times New Roman" w:hAnsi="Calibri" w:cs="Calibri"/>
          <w:color w:val="212529"/>
          <w:kern w:val="0"/>
          <w14:ligatures w14:val="none"/>
        </w:rPr>
        <w:t>S</w:t>
      </w:r>
      <w:r w:rsidRPr="008D4364">
        <w:rPr>
          <w:rFonts w:ascii="Calibri" w:eastAsia="Times New Roman" w:hAnsi="Calibri" w:cs="Calibri"/>
          <w:color w:val="212529"/>
          <w:kern w:val="0"/>
          <w14:ligatures w14:val="none"/>
        </w:rPr>
        <w:t xml:space="preserve">uperior </w:t>
      </w:r>
      <w:r w:rsidR="00A96CFD" w:rsidRPr="008D4364">
        <w:rPr>
          <w:rFonts w:ascii="Calibri" w:eastAsia="Times New Roman" w:hAnsi="Calibri" w:cs="Calibri"/>
          <w:color w:val="212529"/>
          <w:kern w:val="0"/>
          <w14:ligatures w14:val="none"/>
        </w:rPr>
        <w:t>C</w:t>
      </w:r>
      <w:r w:rsidRPr="008D4364">
        <w:rPr>
          <w:rFonts w:ascii="Calibri" w:eastAsia="Times New Roman" w:hAnsi="Calibri" w:cs="Calibri"/>
          <w:color w:val="212529"/>
          <w:kern w:val="0"/>
          <w14:ligatures w14:val="none"/>
        </w:rPr>
        <w:t>ourt for all other public defense services. Any such system shall be maintained independently from client files so as to disclose no privileged information.</w:t>
      </w:r>
    </w:p>
    <w:p w14:paraId="0169C1DF" w14:textId="4799600B"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A standardized voucher form shall be used by contract public defenders in seeking payment upon completion of a case. Payment shall be made monthly without regard to the number of cases closed in the period. </w:t>
      </w:r>
    </w:p>
    <w:p w14:paraId="513F31AC"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10" w:name="2.40.110"/>
      <w:r w:rsidRPr="008D4364">
        <w:rPr>
          <w:rFonts w:ascii="Calibri" w:eastAsia="Times New Roman" w:hAnsi="Calibri" w:cs="Calibri"/>
          <w:b/>
          <w:bCs/>
          <w:color w:val="212529"/>
          <w:kern w:val="0"/>
          <w14:ligatures w14:val="none"/>
        </w:rPr>
        <w:t>2.40.110</w:t>
      </w:r>
      <w:bookmarkEnd w:id="10"/>
      <w:r w:rsidRPr="008D4364">
        <w:rPr>
          <w:rFonts w:ascii="Calibri" w:eastAsia="Times New Roman" w:hAnsi="Calibri" w:cs="Calibri"/>
          <w:b/>
          <w:bCs/>
          <w:color w:val="212529"/>
          <w:kern w:val="0"/>
          <w14:ligatures w14:val="none"/>
        </w:rPr>
        <w:t> Standard 9 - Training.</w:t>
      </w:r>
    </w:p>
    <w:p w14:paraId="00616D07" w14:textId="77777777"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Attorneys providing public defense services shall participate in regular training programs on criminal defense law, including a minimum of seven hours of continuing legal education annually in areas relating to their public defense practice, and provide proof of the same to superior court and the BOCC, through the department of human resources and risk, upon request.</w:t>
      </w:r>
    </w:p>
    <w:p w14:paraId="34A066CE" w14:textId="62064F5A"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Every attorney providing counsel to indigent accused should have the opportunity to attend courses that foster trial advocacy skills and to review professional publications and tapes.</w:t>
      </w:r>
    </w:p>
    <w:p w14:paraId="0894CEB3"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11" w:name="2.40.120"/>
      <w:r w:rsidRPr="008D4364">
        <w:rPr>
          <w:rFonts w:ascii="Calibri" w:eastAsia="Times New Roman" w:hAnsi="Calibri" w:cs="Calibri"/>
          <w:b/>
          <w:bCs/>
          <w:color w:val="212529"/>
          <w:kern w:val="0"/>
          <w14:ligatures w14:val="none"/>
        </w:rPr>
        <w:t>2.40.120</w:t>
      </w:r>
      <w:bookmarkEnd w:id="11"/>
      <w:r w:rsidRPr="008D4364">
        <w:rPr>
          <w:rFonts w:ascii="Calibri" w:eastAsia="Times New Roman" w:hAnsi="Calibri" w:cs="Calibri"/>
          <w:b/>
          <w:bCs/>
          <w:color w:val="212529"/>
          <w:kern w:val="0"/>
          <w14:ligatures w14:val="none"/>
        </w:rPr>
        <w:t> Standard 10 - Supervision standard.</w:t>
      </w:r>
    </w:p>
    <w:p w14:paraId="4FCA4D11" w14:textId="271F19DF"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Public defenders serve at the pleasure of the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xml:space="preserve">, and </w:t>
      </w:r>
      <w:r w:rsidR="00A96CFD" w:rsidRPr="008D4364">
        <w:rPr>
          <w:rFonts w:ascii="Calibri" w:eastAsia="Times New Roman" w:hAnsi="Calibri" w:cs="Calibri"/>
          <w:color w:val="212529"/>
          <w:kern w:val="0"/>
          <w14:ligatures w14:val="none"/>
        </w:rPr>
        <w:t>S</w:t>
      </w:r>
      <w:r w:rsidRPr="008D4364">
        <w:rPr>
          <w:rFonts w:ascii="Calibri" w:eastAsia="Times New Roman" w:hAnsi="Calibri" w:cs="Calibri"/>
          <w:color w:val="212529"/>
          <w:kern w:val="0"/>
          <w14:ligatures w14:val="none"/>
        </w:rPr>
        <w:t xml:space="preserve">uperior </w:t>
      </w:r>
      <w:r w:rsidR="00A96CFD" w:rsidRPr="008D4364">
        <w:rPr>
          <w:rFonts w:ascii="Calibri" w:eastAsia="Times New Roman" w:hAnsi="Calibri" w:cs="Calibri"/>
          <w:color w:val="212529"/>
          <w:kern w:val="0"/>
          <w14:ligatures w14:val="none"/>
        </w:rPr>
        <w:t>C</w:t>
      </w:r>
      <w:r w:rsidRPr="008D4364">
        <w:rPr>
          <w:rFonts w:ascii="Calibri" w:eastAsia="Times New Roman" w:hAnsi="Calibri" w:cs="Calibri"/>
          <w:color w:val="212529"/>
          <w:kern w:val="0"/>
          <w14:ligatures w14:val="none"/>
        </w:rPr>
        <w:t xml:space="preserve">ourt </w:t>
      </w:r>
      <w:r w:rsidR="00A96CFD" w:rsidRPr="008D4364">
        <w:rPr>
          <w:rFonts w:ascii="Calibri" w:eastAsia="Times New Roman" w:hAnsi="Calibri" w:cs="Calibri"/>
          <w:color w:val="212529"/>
          <w:kern w:val="0"/>
          <w14:ligatures w14:val="none"/>
        </w:rPr>
        <w:t>J</w:t>
      </w:r>
      <w:r w:rsidRPr="008D4364">
        <w:rPr>
          <w:rFonts w:ascii="Calibri" w:eastAsia="Times New Roman" w:hAnsi="Calibri" w:cs="Calibri"/>
          <w:color w:val="212529"/>
          <w:kern w:val="0"/>
          <w14:ligatures w14:val="none"/>
        </w:rPr>
        <w:t xml:space="preserve">udges. The terms of payment for legal services shall be negotiated with the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xml:space="preserve">, for all criminal defense services, and all other public defense appointments through </w:t>
      </w:r>
      <w:r w:rsidR="00A96CFD" w:rsidRPr="008D4364">
        <w:rPr>
          <w:rFonts w:ascii="Calibri" w:eastAsia="Times New Roman" w:hAnsi="Calibri" w:cs="Calibri"/>
          <w:color w:val="212529"/>
          <w:kern w:val="0"/>
          <w14:ligatures w14:val="none"/>
        </w:rPr>
        <w:t>S</w:t>
      </w:r>
      <w:r w:rsidRPr="008D4364">
        <w:rPr>
          <w:rFonts w:ascii="Calibri" w:eastAsia="Times New Roman" w:hAnsi="Calibri" w:cs="Calibri"/>
          <w:color w:val="212529"/>
          <w:kern w:val="0"/>
          <w14:ligatures w14:val="none"/>
        </w:rPr>
        <w:t xml:space="preserve">uperior </w:t>
      </w:r>
      <w:r w:rsidR="00A96CFD" w:rsidRPr="008D4364">
        <w:rPr>
          <w:rFonts w:ascii="Calibri" w:eastAsia="Times New Roman" w:hAnsi="Calibri" w:cs="Calibri"/>
          <w:color w:val="212529"/>
          <w:kern w:val="0"/>
          <w14:ligatures w14:val="none"/>
        </w:rPr>
        <w:t>C</w:t>
      </w:r>
      <w:r w:rsidRPr="008D4364">
        <w:rPr>
          <w:rFonts w:ascii="Calibri" w:eastAsia="Times New Roman" w:hAnsi="Calibri" w:cs="Calibri"/>
          <w:color w:val="212529"/>
          <w:kern w:val="0"/>
          <w14:ligatures w14:val="none"/>
        </w:rPr>
        <w:t xml:space="preserve">ourt. The quality of professional performance will be overseen and reviewed by the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xml:space="preserve">, and the </w:t>
      </w:r>
      <w:r w:rsidR="00A96CFD" w:rsidRPr="008D4364">
        <w:rPr>
          <w:rFonts w:ascii="Calibri" w:eastAsia="Times New Roman" w:hAnsi="Calibri" w:cs="Calibri"/>
          <w:color w:val="212529"/>
          <w:kern w:val="0"/>
          <w14:ligatures w14:val="none"/>
        </w:rPr>
        <w:t>J</w:t>
      </w:r>
      <w:r w:rsidRPr="008D4364">
        <w:rPr>
          <w:rFonts w:ascii="Calibri" w:eastAsia="Times New Roman" w:hAnsi="Calibri" w:cs="Calibri"/>
          <w:color w:val="212529"/>
          <w:kern w:val="0"/>
          <w14:ligatures w14:val="none"/>
        </w:rPr>
        <w:t xml:space="preserve">udges of </w:t>
      </w:r>
      <w:r w:rsidR="00A96CFD" w:rsidRPr="008D4364">
        <w:rPr>
          <w:rFonts w:ascii="Calibri" w:eastAsia="Times New Roman" w:hAnsi="Calibri" w:cs="Calibri"/>
          <w:color w:val="212529"/>
          <w:kern w:val="0"/>
          <w14:ligatures w14:val="none"/>
        </w:rPr>
        <w:t>S</w:t>
      </w:r>
      <w:r w:rsidRPr="008D4364">
        <w:rPr>
          <w:rFonts w:ascii="Calibri" w:eastAsia="Times New Roman" w:hAnsi="Calibri" w:cs="Calibri"/>
          <w:color w:val="212529"/>
          <w:kern w:val="0"/>
          <w14:ligatures w14:val="none"/>
        </w:rPr>
        <w:t xml:space="preserve">uperior </w:t>
      </w:r>
      <w:r w:rsidR="00A96CFD" w:rsidRPr="008D4364">
        <w:rPr>
          <w:rFonts w:ascii="Calibri" w:eastAsia="Times New Roman" w:hAnsi="Calibri" w:cs="Calibri"/>
          <w:color w:val="212529"/>
          <w:kern w:val="0"/>
          <w14:ligatures w14:val="none"/>
        </w:rPr>
        <w:t>C</w:t>
      </w:r>
      <w:r w:rsidRPr="008D4364">
        <w:rPr>
          <w:rFonts w:ascii="Calibri" w:eastAsia="Times New Roman" w:hAnsi="Calibri" w:cs="Calibri"/>
          <w:color w:val="212529"/>
          <w:kern w:val="0"/>
          <w14:ligatures w14:val="none"/>
        </w:rPr>
        <w:t xml:space="preserve">ourt before whom they appear based on their respective contracts. The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xml:space="preserve">, for criminal defense services or </w:t>
      </w:r>
      <w:r w:rsidR="00A96CFD" w:rsidRPr="008D4364">
        <w:rPr>
          <w:rFonts w:ascii="Calibri" w:eastAsia="Times New Roman" w:hAnsi="Calibri" w:cs="Calibri"/>
          <w:color w:val="212529"/>
          <w:kern w:val="0"/>
          <w14:ligatures w14:val="none"/>
        </w:rPr>
        <w:t>S</w:t>
      </w:r>
      <w:r w:rsidRPr="008D4364">
        <w:rPr>
          <w:rFonts w:ascii="Calibri" w:eastAsia="Times New Roman" w:hAnsi="Calibri" w:cs="Calibri"/>
          <w:color w:val="212529"/>
          <w:kern w:val="0"/>
          <w14:ligatures w14:val="none"/>
        </w:rPr>
        <w:t xml:space="preserve">uperior </w:t>
      </w:r>
      <w:r w:rsidR="00A96CFD" w:rsidRPr="008D4364">
        <w:rPr>
          <w:rFonts w:ascii="Calibri" w:eastAsia="Times New Roman" w:hAnsi="Calibri" w:cs="Calibri"/>
          <w:color w:val="212529"/>
          <w:kern w:val="0"/>
          <w14:ligatures w14:val="none"/>
        </w:rPr>
        <w:t>C</w:t>
      </w:r>
      <w:r w:rsidRPr="008D4364">
        <w:rPr>
          <w:rFonts w:ascii="Calibri" w:eastAsia="Times New Roman" w:hAnsi="Calibri" w:cs="Calibri"/>
          <w:color w:val="212529"/>
          <w:kern w:val="0"/>
          <w14:ligatures w14:val="none"/>
        </w:rPr>
        <w:t xml:space="preserve">ourt for other public defense services shall choose and assign cases to the public defender from the list of those who have contracted with the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xml:space="preserve">, or </w:t>
      </w:r>
      <w:r w:rsidR="00A96CFD" w:rsidRPr="008D4364">
        <w:rPr>
          <w:rFonts w:ascii="Calibri" w:eastAsia="Times New Roman" w:hAnsi="Calibri" w:cs="Calibri"/>
          <w:color w:val="212529"/>
          <w:kern w:val="0"/>
          <w14:ligatures w14:val="none"/>
        </w:rPr>
        <w:t>S</w:t>
      </w:r>
      <w:r w:rsidRPr="008D4364">
        <w:rPr>
          <w:rFonts w:ascii="Calibri" w:eastAsia="Times New Roman" w:hAnsi="Calibri" w:cs="Calibri"/>
          <w:color w:val="212529"/>
          <w:kern w:val="0"/>
          <w14:ligatures w14:val="none"/>
        </w:rPr>
        <w:t xml:space="preserve">uperior </w:t>
      </w:r>
      <w:r w:rsidR="00A96CFD" w:rsidRPr="008D4364">
        <w:rPr>
          <w:rFonts w:ascii="Calibri" w:eastAsia="Times New Roman" w:hAnsi="Calibri" w:cs="Calibri"/>
          <w:color w:val="212529"/>
          <w:kern w:val="0"/>
          <w14:ligatures w14:val="none"/>
        </w:rPr>
        <w:t>C</w:t>
      </w:r>
      <w:r w:rsidRPr="008D4364">
        <w:rPr>
          <w:rFonts w:ascii="Calibri" w:eastAsia="Times New Roman" w:hAnsi="Calibri" w:cs="Calibri"/>
          <w:color w:val="212529"/>
          <w:kern w:val="0"/>
          <w14:ligatures w14:val="none"/>
        </w:rPr>
        <w:t xml:space="preserve">ourt for their respective public defense service needs. If the public defender chooses to accept assignment of cases, the specific terms of professional performance of such assignments shall be reflected in the standards within the respective public defense contract, and to which said contracted public defender shall be a signatory. </w:t>
      </w:r>
    </w:p>
    <w:p w14:paraId="1EFB6D2E"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12" w:name="2.40.130"/>
      <w:r w:rsidRPr="008D4364">
        <w:rPr>
          <w:rFonts w:ascii="Calibri" w:eastAsia="Times New Roman" w:hAnsi="Calibri" w:cs="Calibri"/>
          <w:b/>
          <w:bCs/>
          <w:color w:val="212529"/>
          <w:kern w:val="0"/>
          <w14:ligatures w14:val="none"/>
        </w:rPr>
        <w:lastRenderedPageBreak/>
        <w:t>2.40.130</w:t>
      </w:r>
      <w:bookmarkEnd w:id="12"/>
      <w:r w:rsidRPr="008D4364">
        <w:rPr>
          <w:rFonts w:ascii="Calibri" w:eastAsia="Times New Roman" w:hAnsi="Calibri" w:cs="Calibri"/>
          <w:b/>
          <w:bCs/>
          <w:color w:val="212529"/>
          <w:kern w:val="0"/>
          <w14:ligatures w14:val="none"/>
        </w:rPr>
        <w:t> Standard 11 - Monitoring and evaluation of attorneys.</w:t>
      </w:r>
    </w:p>
    <w:p w14:paraId="2E9835AF" w14:textId="6F30423F" w:rsidR="006C6F82" w:rsidRPr="008D4364"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The Lewis County plan for provision of public defense services should establish a procedure for systematic monitoring and evaluation of attorney performance based upon publicized criteria. Supervision and evaluation efforts should include review of time and caseload records, review and inspection of transcripts, in-court observations, and periodic conferences. Attorneys should be evaluated on their skill and effectiveness as criminal lawyers or as dependency or civil commitment advocates. </w:t>
      </w:r>
    </w:p>
    <w:p w14:paraId="2050485A" w14:textId="77777777" w:rsidR="006C6F82" w:rsidRPr="008D4364" w:rsidRDefault="006C6F82" w:rsidP="006C6F82">
      <w:pPr>
        <w:pBdr>
          <w:left w:val="single" w:sz="18" w:space="11" w:color="8C8C8C"/>
        </w:pBdr>
        <w:shd w:val="clear" w:color="auto" w:fill="F7F7F7"/>
        <w:spacing w:before="240" w:after="240" w:line="240" w:lineRule="auto"/>
        <w:textAlignment w:val="baseline"/>
        <w:outlineLvl w:val="2"/>
        <w:rPr>
          <w:rFonts w:ascii="Calibri" w:eastAsia="Times New Roman" w:hAnsi="Calibri" w:cs="Calibri"/>
          <w:b/>
          <w:bCs/>
          <w:color w:val="212529"/>
          <w:kern w:val="0"/>
          <w14:ligatures w14:val="none"/>
        </w:rPr>
      </w:pPr>
      <w:bookmarkStart w:id="13" w:name="2.40.140"/>
      <w:r w:rsidRPr="008D4364">
        <w:rPr>
          <w:rFonts w:ascii="Calibri" w:eastAsia="Times New Roman" w:hAnsi="Calibri" w:cs="Calibri"/>
          <w:b/>
          <w:bCs/>
          <w:color w:val="212529"/>
          <w:kern w:val="0"/>
          <w14:ligatures w14:val="none"/>
        </w:rPr>
        <w:t>2.40.140</w:t>
      </w:r>
      <w:bookmarkEnd w:id="13"/>
      <w:r w:rsidRPr="008D4364">
        <w:rPr>
          <w:rFonts w:ascii="Calibri" w:eastAsia="Times New Roman" w:hAnsi="Calibri" w:cs="Calibri"/>
          <w:b/>
          <w:bCs/>
          <w:color w:val="212529"/>
          <w:kern w:val="0"/>
          <w14:ligatures w14:val="none"/>
        </w:rPr>
        <w:t> Standard 12 - Substitution of attorneys.</w:t>
      </w:r>
    </w:p>
    <w:p w14:paraId="42F46D00" w14:textId="3ED8A6A5" w:rsidR="006C6F82" w:rsidRDefault="006C6F82"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The attorney engaged by BOCC, through the </w:t>
      </w:r>
      <w:r w:rsidR="00A96CFD" w:rsidRPr="008D4364">
        <w:rPr>
          <w:rFonts w:ascii="Calibri" w:eastAsia="Times New Roman" w:hAnsi="Calibri" w:cs="Calibri"/>
          <w:color w:val="212529"/>
          <w:kern w:val="0"/>
          <w14:ligatures w14:val="none"/>
        </w:rPr>
        <w:t>County Administration</w:t>
      </w:r>
      <w:r w:rsidRPr="008D4364">
        <w:rPr>
          <w:rFonts w:ascii="Calibri" w:eastAsia="Times New Roman" w:hAnsi="Calibri" w:cs="Calibri"/>
          <w:color w:val="212529"/>
          <w:kern w:val="0"/>
          <w14:ligatures w14:val="none"/>
        </w:rPr>
        <w:t xml:space="preserve"> to provide public defense services in criminal matters, and to whom cases are assigned by  </w:t>
      </w:r>
      <w:r w:rsidR="00A96CFD" w:rsidRPr="008D4364">
        <w:rPr>
          <w:rFonts w:ascii="Calibri" w:eastAsia="Times New Roman" w:hAnsi="Calibri" w:cs="Calibri"/>
          <w:color w:val="212529"/>
          <w:kern w:val="0"/>
          <w14:ligatures w14:val="none"/>
        </w:rPr>
        <w:t>S</w:t>
      </w:r>
      <w:r w:rsidRPr="008D4364">
        <w:rPr>
          <w:rFonts w:ascii="Calibri" w:eastAsia="Times New Roman" w:hAnsi="Calibri" w:cs="Calibri"/>
          <w:color w:val="212529"/>
          <w:kern w:val="0"/>
          <w14:ligatures w14:val="none"/>
        </w:rPr>
        <w:t xml:space="preserve">uperior </w:t>
      </w:r>
      <w:r w:rsidR="00A96CFD" w:rsidRPr="008D4364">
        <w:rPr>
          <w:rFonts w:ascii="Calibri" w:eastAsia="Times New Roman" w:hAnsi="Calibri" w:cs="Calibri"/>
          <w:color w:val="212529"/>
          <w:kern w:val="0"/>
          <w14:ligatures w14:val="none"/>
        </w:rPr>
        <w:t>C</w:t>
      </w:r>
      <w:r w:rsidRPr="008D4364">
        <w:rPr>
          <w:rFonts w:ascii="Calibri" w:eastAsia="Times New Roman" w:hAnsi="Calibri" w:cs="Calibri"/>
          <w:color w:val="212529"/>
          <w:kern w:val="0"/>
          <w14:ligatures w14:val="none"/>
        </w:rPr>
        <w:t xml:space="preserve">ourt for all other required public defense services shall not subcontract with another firm or attorney to provide representation and shall remain directly involved in the provision of representation. The agreement should address the procedures for continuing representation of clients upon the conclusion of the agreement. </w:t>
      </w:r>
    </w:p>
    <w:p w14:paraId="03D84A46" w14:textId="5BBF1BE2" w:rsidR="008D4364" w:rsidRPr="008D4364" w:rsidRDefault="008D4364" w:rsidP="006C6F82">
      <w:pPr>
        <w:shd w:val="clear" w:color="auto" w:fill="FFFFFF"/>
        <w:spacing w:after="300" w:line="240" w:lineRule="auto"/>
        <w:textAlignment w:val="baseline"/>
        <w:rPr>
          <w:rFonts w:ascii="Calibri" w:eastAsia="Times New Roman" w:hAnsi="Calibri" w:cs="Calibri"/>
          <w:color w:val="212529"/>
          <w:kern w:val="0"/>
          <w14:ligatures w14:val="none"/>
        </w:rPr>
      </w:pPr>
      <w:r w:rsidRPr="008D4364">
        <w:rPr>
          <w:rFonts w:ascii="Calibri" w:eastAsia="Times New Roman" w:hAnsi="Calibri" w:cs="Calibri"/>
          <w:color w:val="212529"/>
          <w:kern w:val="0"/>
          <w14:ligatures w14:val="none"/>
        </w:rPr>
        <w:t xml:space="preserve">PASSED IN REGULAR SESSION THIS </w:t>
      </w:r>
      <w:r w:rsidR="009145D2">
        <w:rPr>
          <w:rFonts w:ascii="Calibri" w:eastAsia="Times New Roman" w:hAnsi="Calibri" w:cs="Calibri"/>
          <w:color w:val="212529"/>
          <w:kern w:val="0"/>
          <w14:ligatures w14:val="none"/>
        </w:rPr>
        <w:t>20</w:t>
      </w:r>
      <w:r>
        <w:rPr>
          <w:rFonts w:ascii="Calibri" w:eastAsia="Times New Roman" w:hAnsi="Calibri" w:cs="Calibri"/>
          <w:color w:val="212529"/>
          <w:kern w:val="0"/>
          <w14:ligatures w14:val="none"/>
        </w:rPr>
        <w:t>t</w:t>
      </w:r>
      <w:r w:rsidRPr="008D4364">
        <w:rPr>
          <w:rFonts w:ascii="Calibri" w:eastAsia="Times New Roman" w:hAnsi="Calibri" w:cs="Calibri"/>
          <w:color w:val="212529"/>
          <w:kern w:val="0"/>
          <w14:ligatures w14:val="none"/>
        </w:rPr>
        <w:t xml:space="preserve">h day of May 2025, following a public hearing publicized in the newspaper of record on </w:t>
      </w:r>
      <w:r w:rsidR="009145D2">
        <w:rPr>
          <w:rFonts w:ascii="Calibri" w:eastAsia="Times New Roman" w:hAnsi="Calibri" w:cs="Calibri"/>
          <w:color w:val="212529"/>
          <w:kern w:val="0"/>
          <w14:ligatures w14:val="none"/>
        </w:rPr>
        <w:t>May 7</w:t>
      </w:r>
      <w:r w:rsidRPr="008D4364">
        <w:rPr>
          <w:rFonts w:ascii="Calibri" w:eastAsia="Times New Roman" w:hAnsi="Calibri" w:cs="Calibri"/>
          <w:color w:val="212529"/>
          <w:kern w:val="0"/>
          <w14:ligatures w14:val="none"/>
        </w:rPr>
        <w:t>, 2025.</w:t>
      </w:r>
    </w:p>
    <w:tbl>
      <w:tblPr>
        <w:tblW w:w="0" w:type="auto"/>
        <w:tblLook w:val="04A0" w:firstRow="1" w:lastRow="0" w:firstColumn="1" w:lastColumn="0" w:noHBand="0" w:noVBand="1"/>
      </w:tblPr>
      <w:tblGrid>
        <w:gridCol w:w="4492"/>
        <w:gridCol w:w="355"/>
        <w:gridCol w:w="4513"/>
      </w:tblGrid>
      <w:tr w:rsidR="008D4364" w:rsidRPr="008D4364" w14:paraId="11CA69D5" w14:textId="77777777" w:rsidTr="009246C1">
        <w:tc>
          <w:tcPr>
            <w:tcW w:w="4608" w:type="dxa"/>
            <w:shd w:val="clear" w:color="auto" w:fill="auto"/>
          </w:tcPr>
          <w:p w14:paraId="29E9134D" w14:textId="77777777" w:rsidR="008D4364" w:rsidRPr="008D4364" w:rsidRDefault="008D4364" w:rsidP="009246C1">
            <w:pPr>
              <w:spacing w:line="240" w:lineRule="auto"/>
              <w:jc w:val="both"/>
              <w:rPr>
                <w:rFonts w:ascii="Calibri" w:hAnsi="Calibri" w:cs="Calibri"/>
              </w:rPr>
            </w:pPr>
          </w:p>
          <w:p w14:paraId="6D96433E" w14:textId="77777777" w:rsidR="008D4364" w:rsidRPr="008D4364" w:rsidRDefault="008D4364" w:rsidP="009246C1">
            <w:pPr>
              <w:spacing w:line="240" w:lineRule="auto"/>
              <w:ind w:left="-105"/>
              <w:jc w:val="both"/>
              <w:rPr>
                <w:rFonts w:ascii="Calibri" w:hAnsi="Calibri" w:cs="Calibri"/>
              </w:rPr>
            </w:pPr>
            <w:r w:rsidRPr="008D4364">
              <w:rPr>
                <w:rFonts w:ascii="Calibri" w:hAnsi="Calibri" w:cs="Calibri"/>
              </w:rPr>
              <w:t>APPROVED AS TO FORM:</w:t>
            </w:r>
          </w:p>
          <w:p w14:paraId="389E8C4C" w14:textId="77777777" w:rsidR="008D4364" w:rsidRPr="008D4364" w:rsidRDefault="008D4364" w:rsidP="009246C1">
            <w:pPr>
              <w:spacing w:line="240" w:lineRule="auto"/>
              <w:ind w:left="-105"/>
              <w:jc w:val="both"/>
              <w:rPr>
                <w:rFonts w:ascii="Calibri" w:hAnsi="Calibri" w:cs="Calibri"/>
              </w:rPr>
            </w:pPr>
            <w:r w:rsidRPr="008D4364">
              <w:rPr>
                <w:rFonts w:ascii="Calibri" w:hAnsi="Calibri" w:cs="Calibri"/>
              </w:rPr>
              <w:t xml:space="preserve">Jonathan Meyer, Prosecuting Attorney   </w:t>
            </w:r>
          </w:p>
        </w:tc>
        <w:tc>
          <w:tcPr>
            <w:tcW w:w="360" w:type="dxa"/>
            <w:shd w:val="clear" w:color="auto" w:fill="auto"/>
          </w:tcPr>
          <w:p w14:paraId="3579134E" w14:textId="77777777" w:rsidR="008D4364" w:rsidRPr="008D4364" w:rsidRDefault="008D4364" w:rsidP="009246C1">
            <w:pPr>
              <w:spacing w:line="240" w:lineRule="auto"/>
              <w:jc w:val="both"/>
              <w:rPr>
                <w:rFonts w:ascii="Calibri" w:hAnsi="Calibri" w:cs="Calibri"/>
              </w:rPr>
            </w:pPr>
          </w:p>
        </w:tc>
        <w:tc>
          <w:tcPr>
            <w:tcW w:w="4608" w:type="dxa"/>
            <w:shd w:val="clear" w:color="auto" w:fill="auto"/>
          </w:tcPr>
          <w:p w14:paraId="00E66D0F" w14:textId="77777777" w:rsidR="008D4364" w:rsidRPr="008D4364" w:rsidRDefault="008D4364" w:rsidP="009246C1">
            <w:pPr>
              <w:spacing w:line="240" w:lineRule="auto"/>
              <w:jc w:val="both"/>
              <w:rPr>
                <w:rFonts w:ascii="Calibri" w:hAnsi="Calibri" w:cs="Calibri"/>
              </w:rPr>
            </w:pPr>
          </w:p>
          <w:p w14:paraId="22F28422" w14:textId="77777777" w:rsidR="008D4364" w:rsidRPr="008D4364" w:rsidRDefault="008D4364" w:rsidP="009246C1">
            <w:pPr>
              <w:spacing w:line="240" w:lineRule="auto"/>
              <w:jc w:val="both"/>
              <w:rPr>
                <w:rFonts w:ascii="Calibri" w:hAnsi="Calibri" w:cs="Calibri"/>
              </w:rPr>
            </w:pPr>
            <w:r w:rsidRPr="008D4364">
              <w:rPr>
                <w:rFonts w:ascii="Calibri" w:hAnsi="Calibri" w:cs="Calibri"/>
              </w:rPr>
              <w:t>BOARD OF COUNTY COMMISSIONERS</w:t>
            </w:r>
          </w:p>
          <w:p w14:paraId="4CC3E238" w14:textId="77777777" w:rsidR="008D4364" w:rsidRPr="008D4364" w:rsidRDefault="008D4364" w:rsidP="009246C1">
            <w:pPr>
              <w:spacing w:line="240" w:lineRule="auto"/>
              <w:jc w:val="both"/>
              <w:rPr>
                <w:rFonts w:ascii="Calibri" w:hAnsi="Calibri" w:cs="Calibri"/>
              </w:rPr>
            </w:pPr>
            <w:r w:rsidRPr="008D4364">
              <w:rPr>
                <w:rFonts w:ascii="Calibri" w:hAnsi="Calibri" w:cs="Calibri"/>
              </w:rPr>
              <w:t>LEWIS COUNTY, WASHINGTON</w:t>
            </w:r>
          </w:p>
        </w:tc>
      </w:tr>
      <w:tr w:rsidR="008D4364" w:rsidRPr="008D4364" w14:paraId="6AC714AA" w14:textId="77777777" w:rsidTr="009246C1">
        <w:trPr>
          <w:trHeight w:val="593"/>
        </w:trPr>
        <w:tc>
          <w:tcPr>
            <w:tcW w:w="4608" w:type="dxa"/>
            <w:tcBorders>
              <w:bottom w:val="single" w:sz="4" w:space="0" w:color="auto"/>
            </w:tcBorders>
            <w:shd w:val="clear" w:color="auto" w:fill="auto"/>
          </w:tcPr>
          <w:p w14:paraId="1D4AC654" w14:textId="77777777" w:rsidR="008D4364" w:rsidRPr="008D4364" w:rsidRDefault="008D4364" w:rsidP="009246C1">
            <w:pPr>
              <w:spacing w:line="240" w:lineRule="auto"/>
              <w:jc w:val="both"/>
              <w:rPr>
                <w:rFonts w:ascii="Calibri" w:hAnsi="Calibri" w:cs="Calibri"/>
              </w:rPr>
            </w:pPr>
          </w:p>
          <w:p w14:paraId="58A755F6" w14:textId="77777777" w:rsidR="008D4364" w:rsidRPr="008D4364" w:rsidRDefault="008D4364" w:rsidP="009246C1">
            <w:pPr>
              <w:spacing w:line="240" w:lineRule="auto"/>
              <w:jc w:val="both"/>
              <w:rPr>
                <w:rFonts w:ascii="Calibri" w:hAnsi="Calibri" w:cs="Calibri"/>
              </w:rPr>
            </w:pPr>
          </w:p>
        </w:tc>
        <w:tc>
          <w:tcPr>
            <w:tcW w:w="360" w:type="dxa"/>
            <w:shd w:val="clear" w:color="auto" w:fill="auto"/>
          </w:tcPr>
          <w:p w14:paraId="2699A938" w14:textId="77777777" w:rsidR="008D4364" w:rsidRPr="008D4364" w:rsidRDefault="008D4364" w:rsidP="009246C1">
            <w:pPr>
              <w:spacing w:line="240" w:lineRule="auto"/>
              <w:jc w:val="both"/>
              <w:rPr>
                <w:rFonts w:ascii="Calibri" w:hAnsi="Calibri" w:cs="Calibri"/>
              </w:rPr>
            </w:pPr>
          </w:p>
        </w:tc>
        <w:tc>
          <w:tcPr>
            <w:tcW w:w="4608" w:type="dxa"/>
            <w:tcBorders>
              <w:bottom w:val="single" w:sz="4" w:space="0" w:color="auto"/>
            </w:tcBorders>
            <w:shd w:val="clear" w:color="auto" w:fill="auto"/>
          </w:tcPr>
          <w:p w14:paraId="6FFD7D91" w14:textId="77777777" w:rsidR="008D4364" w:rsidRPr="008D4364" w:rsidRDefault="008D4364" w:rsidP="009246C1">
            <w:pPr>
              <w:spacing w:line="240" w:lineRule="auto"/>
              <w:jc w:val="both"/>
              <w:rPr>
                <w:rFonts w:ascii="Calibri" w:hAnsi="Calibri" w:cs="Calibri"/>
              </w:rPr>
            </w:pPr>
          </w:p>
        </w:tc>
      </w:tr>
      <w:tr w:rsidR="008D4364" w:rsidRPr="008D4364" w14:paraId="552AC4E6" w14:textId="77777777" w:rsidTr="009246C1">
        <w:trPr>
          <w:trHeight w:val="720"/>
        </w:trPr>
        <w:tc>
          <w:tcPr>
            <w:tcW w:w="4608" w:type="dxa"/>
            <w:tcBorders>
              <w:top w:val="single" w:sz="4" w:space="0" w:color="auto"/>
            </w:tcBorders>
            <w:shd w:val="clear" w:color="auto" w:fill="auto"/>
          </w:tcPr>
          <w:p w14:paraId="7270BAA9" w14:textId="77777777" w:rsidR="008D4364" w:rsidRPr="008D4364" w:rsidRDefault="008D4364" w:rsidP="009246C1">
            <w:pPr>
              <w:spacing w:line="240" w:lineRule="auto"/>
              <w:ind w:left="-105"/>
              <w:rPr>
                <w:rFonts w:ascii="Calibri" w:hAnsi="Calibri" w:cs="Calibri"/>
              </w:rPr>
            </w:pPr>
            <w:r w:rsidRPr="008D4364">
              <w:rPr>
                <w:rFonts w:ascii="Calibri" w:hAnsi="Calibri" w:cs="Calibri"/>
              </w:rPr>
              <w:t>By David Bailey, Chief Civil Deputy Pros. Attorney</w:t>
            </w:r>
          </w:p>
          <w:p w14:paraId="69B5DDCD" w14:textId="77777777" w:rsidR="008D4364" w:rsidRPr="008D4364" w:rsidRDefault="008D4364" w:rsidP="009246C1">
            <w:pPr>
              <w:spacing w:line="240" w:lineRule="auto"/>
              <w:jc w:val="both"/>
              <w:rPr>
                <w:rFonts w:ascii="Calibri" w:hAnsi="Calibri" w:cs="Calibri"/>
              </w:rPr>
            </w:pPr>
          </w:p>
        </w:tc>
        <w:tc>
          <w:tcPr>
            <w:tcW w:w="360" w:type="dxa"/>
            <w:shd w:val="clear" w:color="auto" w:fill="auto"/>
          </w:tcPr>
          <w:p w14:paraId="010AFDC8" w14:textId="77777777" w:rsidR="008D4364" w:rsidRPr="008D4364" w:rsidRDefault="008D4364" w:rsidP="009246C1">
            <w:pPr>
              <w:spacing w:line="240" w:lineRule="auto"/>
              <w:jc w:val="both"/>
              <w:rPr>
                <w:rFonts w:ascii="Calibri" w:hAnsi="Calibri" w:cs="Calibri"/>
              </w:rPr>
            </w:pPr>
          </w:p>
        </w:tc>
        <w:tc>
          <w:tcPr>
            <w:tcW w:w="4608" w:type="dxa"/>
            <w:tcBorders>
              <w:top w:val="single" w:sz="4" w:space="0" w:color="auto"/>
            </w:tcBorders>
            <w:shd w:val="clear" w:color="auto" w:fill="auto"/>
          </w:tcPr>
          <w:p w14:paraId="1DB6A23F" w14:textId="77777777" w:rsidR="008D4364" w:rsidRPr="008D4364" w:rsidRDefault="008D4364" w:rsidP="009246C1">
            <w:pPr>
              <w:spacing w:line="240" w:lineRule="auto"/>
              <w:ind w:hanging="90"/>
              <w:jc w:val="both"/>
              <w:rPr>
                <w:rFonts w:ascii="Calibri" w:hAnsi="Calibri" w:cs="Calibri"/>
              </w:rPr>
            </w:pPr>
            <w:r w:rsidRPr="008D4364">
              <w:rPr>
                <w:rFonts w:ascii="Calibri" w:hAnsi="Calibri" w:cs="Calibri"/>
              </w:rPr>
              <w:t>Scott J. Brummer, Chair</w:t>
            </w:r>
          </w:p>
          <w:p w14:paraId="027B1466" w14:textId="77777777" w:rsidR="008D4364" w:rsidRPr="008D4364" w:rsidRDefault="008D4364" w:rsidP="009246C1">
            <w:pPr>
              <w:spacing w:line="240" w:lineRule="auto"/>
              <w:jc w:val="both"/>
              <w:rPr>
                <w:rFonts w:ascii="Calibri" w:hAnsi="Calibri" w:cs="Calibri"/>
              </w:rPr>
            </w:pPr>
          </w:p>
          <w:p w14:paraId="46CA2CF0" w14:textId="77777777" w:rsidR="008D4364" w:rsidRPr="008D4364" w:rsidRDefault="008D4364" w:rsidP="009246C1">
            <w:pPr>
              <w:spacing w:line="240" w:lineRule="auto"/>
              <w:jc w:val="both"/>
              <w:rPr>
                <w:rFonts w:ascii="Calibri" w:hAnsi="Calibri" w:cs="Calibri"/>
              </w:rPr>
            </w:pPr>
          </w:p>
        </w:tc>
      </w:tr>
      <w:tr w:rsidR="008D4364" w:rsidRPr="008D4364" w14:paraId="10D64107" w14:textId="77777777" w:rsidTr="009246C1">
        <w:trPr>
          <w:trHeight w:val="242"/>
        </w:trPr>
        <w:tc>
          <w:tcPr>
            <w:tcW w:w="4608" w:type="dxa"/>
            <w:shd w:val="clear" w:color="auto" w:fill="auto"/>
          </w:tcPr>
          <w:p w14:paraId="64D08C36" w14:textId="77777777" w:rsidR="008D4364" w:rsidRPr="008D4364" w:rsidRDefault="008D4364" w:rsidP="009246C1">
            <w:pPr>
              <w:spacing w:line="240" w:lineRule="auto"/>
              <w:ind w:left="-105"/>
              <w:jc w:val="both"/>
              <w:rPr>
                <w:rFonts w:ascii="Calibri" w:hAnsi="Calibri" w:cs="Calibri"/>
              </w:rPr>
            </w:pPr>
            <w:r w:rsidRPr="008D4364">
              <w:rPr>
                <w:rFonts w:ascii="Calibri" w:hAnsi="Calibri" w:cs="Calibri"/>
              </w:rPr>
              <w:t xml:space="preserve">ATTEST: </w:t>
            </w:r>
          </w:p>
        </w:tc>
        <w:tc>
          <w:tcPr>
            <w:tcW w:w="360" w:type="dxa"/>
            <w:shd w:val="clear" w:color="auto" w:fill="auto"/>
          </w:tcPr>
          <w:p w14:paraId="2F9FD999" w14:textId="77777777" w:rsidR="008D4364" w:rsidRPr="008D4364" w:rsidRDefault="008D4364" w:rsidP="009246C1">
            <w:pPr>
              <w:spacing w:line="240" w:lineRule="auto"/>
              <w:jc w:val="both"/>
              <w:rPr>
                <w:rFonts w:ascii="Calibri" w:hAnsi="Calibri" w:cs="Calibri"/>
              </w:rPr>
            </w:pPr>
          </w:p>
        </w:tc>
        <w:tc>
          <w:tcPr>
            <w:tcW w:w="4608" w:type="dxa"/>
            <w:tcBorders>
              <w:top w:val="single" w:sz="4" w:space="0" w:color="auto"/>
            </w:tcBorders>
            <w:shd w:val="clear" w:color="auto" w:fill="auto"/>
          </w:tcPr>
          <w:p w14:paraId="226B7E3A" w14:textId="77777777" w:rsidR="008D4364" w:rsidRPr="008D4364" w:rsidRDefault="008D4364" w:rsidP="009246C1">
            <w:pPr>
              <w:spacing w:line="240" w:lineRule="auto"/>
              <w:ind w:hanging="90"/>
              <w:jc w:val="both"/>
              <w:rPr>
                <w:rFonts w:ascii="Calibri" w:hAnsi="Calibri" w:cs="Calibri"/>
              </w:rPr>
            </w:pPr>
            <w:r w:rsidRPr="008D4364">
              <w:rPr>
                <w:rFonts w:ascii="Calibri" w:hAnsi="Calibri" w:cs="Calibri"/>
              </w:rPr>
              <w:t>Lindsey R. Pollock, DVM, Vice Chair</w:t>
            </w:r>
          </w:p>
        </w:tc>
      </w:tr>
      <w:tr w:rsidR="008D4364" w:rsidRPr="008D4364" w14:paraId="09DE90A0" w14:textId="77777777" w:rsidTr="009246C1">
        <w:tc>
          <w:tcPr>
            <w:tcW w:w="4608" w:type="dxa"/>
            <w:tcBorders>
              <w:bottom w:val="single" w:sz="4" w:space="0" w:color="auto"/>
            </w:tcBorders>
            <w:shd w:val="clear" w:color="auto" w:fill="auto"/>
          </w:tcPr>
          <w:p w14:paraId="068967BD" w14:textId="77777777" w:rsidR="008D4364" w:rsidRPr="008D4364" w:rsidRDefault="008D4364" w:rsidP="009246C1">
            <w:pPr>
              <w:spacing w:line="240" w:lineRule="auto"/>
              <w:jc w:val="both"/>
              <w:rPr>
                <w:rFonts w:ascii="Calibri" w:hAnsi="Calibri" w:cs="Calibri"/>
              </w:rPr>
            </w:pPr>
          </w:p>
          <w:p w14:paraId="605D67FE" w14:textId="77777777" w:rsidR="008D4364" w:rsidRPr="008D4364" w:rsidRDefault="008D4364" w:rsidP="009246C1">
            <w:pPr>
              <w:spacing w:line="240" w:lineRule="auto"/>
              <w:jc w:val="both"/>
              <w:rPr>
                <w:rFonts w:ascii="Calibri" w:hAnsi="Calibri" w:cs="Calibri"/>
              </w:rPr>
            </w:pPr>
          </w:p>
        </w:tc>
        <w:tc>
          <w:tcPr>
            <w:tcW w:w="360" w:type="dxa"/>
            <w:shd w:val="clear" w:color="auto" w:fill="auto"/>
          </w:tcPr>
          <w:p w14:paraId="7A6B6D29" w14:textId="77777777" w:rsidR="008D4364" w:rsidRPr="008D4364" w:rsidRDefault="008D4364" w:rsidP="009246C1">
            <w:pPr>
              <w:spacing w:line="240" w:lineRule="auto"/>
              <w:jc w:val="both"/>
              <w:rPr>
                <w:rFonts w:ascii="Calibri" w:hAnsi="Calibri" w:cs="Calibri"/>
              </w:rPr>
            </w:pPr>
          </w:p>
        </w:tc>
        <w:tc>
          <w:tcPr>
            <w:tcW w:w="4608" w:type="dxa"/>
            <w:tcBorders>
              <w:bottom w:val="single" w:sz="4" w:space="0" w:color="auto"/>
            </w:tcBorders>
            <w:shd w:val="clear" w:color="auto" w:fill="auto"/>
          </w:tcPr>
          <w:p w14:paraId="0647C1B2" w14:textId="77777777" w:rsidR="008D4364" w:rsidRPr="008D4364" w:rsidRDefault="008D4364" w:rsidP="009246C1">
            <w:pPr>
              <w:spacing w:line="240" w:lineRule="auto"/>
              <w:jc w:val="both"/>
              <w:rPr>
                <w:rFonts w:ascii="Calibri" w:hAnsi="Calibri" w:cs="Calibri"/>
              </w:rPr>
            </w:pPr>
          </w:p>
        </w:tc>
      </w:tr>
      <w:tr w:rsidR="008D4364" w:rsidRPr="008D4364" w14:paraId="052CB108" w14:textId="77777777" w:rsidTr="009246C1">
        <w:trPr>
          <w:trHeight w:val="197"/>
        </w:trPr>
        <w:tc>
          <w:tcPr>
            <w:tcW w:w="4608" w:type="dxa"/>
            <w:tcBorders>
              <w:top w:val="single" w:sz="4" w:space="0" w:color="auto"/>
            </w:tcBorders>
            <w:shd w:val="clear" w:color="auto" w:fill="auto"/>
          </w:tcPr>
          <w:p w14:paraId="3A5EFE20" w14:textId="77777777" w:rsidR="008D4364" w:rsidRPr="008D4364" w:rsidRDefault="008D4364" w:rsidP="009246C1">
            <w:pPr>
              <w:spacing w:line="240" w:lineRule="auto"/>
              <w:ind w:left="-105"/>
              <w:jc w:val="both"/>
              <w:rPr>
                <w:rFonts w:ascii="Calibri" w:hAnsi="Calibri" w:cs="Calibri"/>
              </w:rPr>
            </w:pPr>
            <w:r w:rsidRPr="008D4364">
              <w:rPr>
                <w:rFonts w:ascii="Calibri" w:hAnsi="Calibri" w:cs="Calibri"/>
              </w:rPr>
              <w:t>Rieva Lester, CMC, Clerk of the Board</w:t>
            </w:r>
          </w:p>
        </w:tc>
        <w:tc>
          <w:tcPr>
            <w:tcW w:w="360" w:type="dxa"/>
            <w:shd w:val="clear" w:color="auto" w:fill="auto"/>
          </w:tcPr>
          <w:p w14:paraId="6947EDB6" w14:textId="77777777" w:rsidR="008D4364" w:rsidRPr="008D4364" w:rsidRDefault="008D4364" w:rsidP="009246C1">
            <w:pPr>
              <w:spacing w:line="240" w:lineRule="auto"/>
              <w:ind w:hanging="90"/>
              <w:jc w:val="both"/>
              <w:rPr>
                <w:rFonts w:ascii="Calibri" w:hAnsi="Calibri" w:cs="Calibri"/>
              </w:rPr>
            </w:pPr>
          </w:p>
        </w:tc>
        <w:tc>
          <w:tcPr>
            <w:tcW w:w="4608" w:type="dxa"/>
            <w:tcBorders>
              <w:top w:val="single" w:sz="4" w:space="0" w:color="auto"/>
            </w:tcBorders>
            <w:shd w:val="clear" w:color="auto" w:fill="auto"/>
          </w:tcPr>
          <w:p w14:paraId="07774207" w14:textId="77777777" w:rsidR="008D4364" w:rsidRPr="008D4364" w:rsidRDefault="008D4364" w:rsidP="009246C1">
            <w:pPr>
              <w:spacing w:line="240" w:lineRule="auto"/>
              <w:ind w:hanging="90"/>
              <w:jc w:val="both"/>
              <w:rPr>
                <w:rFonts w:ascii="Calibri" w:hAnsi="Calibri" w:cs="Calibri"/>
              </w:rPr>
            </w:pPr>
            <w:r w:rsidRPr="008D4364">
              <w:rPr>
                <w:rFonts w:ascii="Calibri" w:hAnsi="Calibri" w:cs="Calibri"/>
              </w:rPr>
              <w:t>Sean D. Swope, Commissioner</w:t>
            </w:r>
          </w:p>
        </w:tc>
      </w:tr>
    </w:tbl>
    <w:p w14:paraId="5DB9D280" w14:textId="4F6F67A2" w:rsidR="00FC369A" w:rsidRPr="008D4364" w:rsidRDefault="00FC369A" w:rsidP="006C6F82">
      <w:pPr>
        <w:rPr>
          <w:rFonts w:ascii="Calibri" w:hAnsi="Calibri" w:cs="Calibri"/>
        </w:rPr>
      </w:pPr>
    </w:p>
    <w:sectPr w:rsidR="00FC369A" w:rsidRPr="008D43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89A4F" w14:textId="77777777" w:rsidR="00B22450" w:rsidRDefault="00B22450" w:rsidP="00B22450">
      <w:pPr>
        <w:spacing w:after="0" w:line="240" w:lineRule="auto"/>
      </w:pPr>
      <w:r>
        <w:separator/>
      </w:r>
    </w:p>
  </w:endnote>
  <w:endnote w:type="continuationSeparator" w:id="0">
    <w:p w14:paraId="36ADFC77" w14:textId="77777777" w:rsidR="00B22450" w:rsidRDefault="00B22450" w:rsidP="00B22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9BC50" w14:textId="77777777" w:rsidR="00B22450" w:rsidRDefault="00B22450" w:rsidP="00B22450">
      <w:pPr>
        <w:spacing w:after="0" w:line="240" w:lineRule="auto"/>
      </w:pPr>
      <w:r>
        <w:separator/>
      </w:r>
    </w:p>
  </w:footnote>
  <w:footnote w:type="continuationSeparator" w:id="0">
    <w:p w14:paraId="31CAAEEC" w14:textId="77777777" w:rsidR="00B22450" w:rsidRDefault="00B22450" w:rsidP="00B224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3307E"/>
    <w:multiLevelType w:val="hybridMultilevel"/>
    <w:tmpl w:val="19C85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CA1797"/>
    <w:multiLevelType w:val="hybridMultilevel"/>
    <w:tmpl w:val="FB406DAE"/>
    <w:lvl w:ilvl="0" w:tplc="C8248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5814468">
    <w:abstractNumId w:val="0"/>
  </w:num>
  <w:num w:numId="2" w16cid:durableId="1411611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7"/>
    <w:rsid w:val="00005DFA"/>
    <w:rsid w:val="00316034"/>
    <w:rsid w:val="00523B57"/>
    <w:rsid w:val="006C6F82"/>
    <w:rsid w:val="00882A57"/>
    <w:rsid w:val="008D4364"/>
    <w:rsid w:val="009145D2"/>
    <w:rsid w:val="009336B7"/>
    <w:rsid w:val="00A96CFD"/>
    <w:rsid w:val="00B22450"/>
    <w:rsid w:val="00B71294"/>
    <w:rsid w:val="00C16543"/>
    <w:rsid w:val="00FC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A27E"/>
  <w15:chartTrackingRefBased/>
  <w15:docId w15:val="{CD7BFC60-EFC7-4157-95D3-B77941D9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A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A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A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A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A57"/>
    <w:rPr>
      <w:rFonts w:eastAsiaTheme="majorEastAsia" w:cstheme="majorBidi"/>
      <w:color w:val="272727" w:themeColor="text1" w:themeTint="D8"/>
    </w:rPr>
  </w:style>
  <w:style w:type="paragraph" w:styleId="Title">
    <w:name w:val="Title"/>
    <w:basedOn w:val="Normal"/>
    <w:next w:val="Normal"/>
    <w:link w:val="TitleChar"/>
    <w:uiPriority w:val="10"/>
    <w:qFormat/>
    <w:rsid w:val="00882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A57"/>
    <w:pPr>
      <w:spacing w:before="160"/>
      <w:jc w:val="center"/>
    </w:pPr>
    <w:rPr>
      <w:i/>
      <w:iCs/>
      <w:color w:val="404040" w:themeColor="text1" w:themeTint="BF"/>
    </w:rPr>
  </w:style>
  <w:style w:type="character" w:customStyle="1" w:styleId="QuoteChar">
    <w:name w:val="Quote Char"/>
    <w:basedOn w:val="DefaultParagraphFont"/>
    <w:link w:val="Quote"/>
    <w:uiPriority w:val="29"/>
    <w:rsid w:val="00882A57"/>
    <w:rPr>
      <w:i/>
      <w:iCs/>
      <w:color w:val="404040" w:themeColor="text1" w:themeTint="BF"/>
    </w:rPr>
  </w:style>
  <w:style w:type="paragraph" w:styleId="ListParagraph">
    <w:name w:val="List Paragraph"/>
    <w:basedOn w:val="Normal"/>
    <w:uiPriority w:val="34"/>
    <w:qFormat/>
    <w:rsid w:val="00882A57"/>
    <w:pPr>
      <w:ind w:left="720"/>
      <w:contextualSpacing/>
    </w:pPr>
  </w:style>
  <w:style w:type="character" w:styleId="IntenseEmphasis">
    <w:name w:val="Intense Emphasis"/>
    <w:basedOn w:val="DefaultParagraphFont"/>
    <w:uiPriority w:val="21"/>
    <w:qFormat/>
    <w:rsid w:val="00882A57"/>
    <w:rPr>
      <w:i/>
      <w:iCs/>
      <w:color w:val="0F4761" w:themeColor="accent1" w:themeShade="BF"/>
    </w:rPr>
  </w:style>
  <w:style w:type="paragraph" w:styleId="IntenseQuote">
    <w:name w:val="Intense Quote"/>
    <w:basedOn w:val="Normal"/>
    <w:next w:val="Normal"/>
    <w:link w:val="IntenseQuoteChar"/>
    <w:uiPriority w:val="30"/>
    <w:qFormat/>
    <w:rsid w:val="00882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A57"/>
    <w:rPr>
      <w:i/>
      <w:iCs/>
      <w:color w:val="0F4761" w:themeColor="accent1" w:themeShade="BF"/>
    </w:rPr>
  </w:style>
  <w:style w:type="character" w:styleId="IntenseReference">
    <w:name w:val="Intense Reference"/>
    <w:basedOn w:val="DefaultParagraphFont"/>
    <w:uiPriority w:val="32"/>
    <w:qFormat/>
    <w:rsid w:val="00882A57"/>
    <w:rPr>
      <w:b/>
      <w:bCs/>
      <w:smallCaps/>
      <w:color w:val="0F4761" w:themeColor="accent1" w:themeShade="BF"/>
      <w:spacing w:val="5"/>
    </w:rPr>
  </w:style>
  <w:style w:type="character" w:styleId="Hyperlink">
    <w:name w:val="Hyperlink"/>
    <w:basedOn w:val="DefaultParagraphFont"/>
    <w:uiPriority w:val="99"/>
    <w:unhideWhenUsed/>
    <w:rsid w:val="006C6F82"/>
    <w:rPr>
      <w:color w:val="467886" w:themeColor="hyperlink"/>
      <w:u w:val="single"/>
    </w:rPr>
  </w:style>
  <w:style w:type="character" w:styleId="UnresolvedMention">
    <w:name w:val="Unresolved Mention"/>
    <w:basedOn w:val="DefaultParagraphFont"/>
    <w:uiPriority w:val="99"/>
    <w:semiHidden/>
    <w:unhideWhenUsed/>
    <w:rsid w:val="006C6F82"/>
    <w:rPr>
      <w:color w:val="605E5C"/>
      <w:shd w:val="clear" w:color="auto" w:fill="E1DFDD"/>
    </w:rPr>
  </w:style>
  <w:style w:type="paragraph" w:styleId="Revision">
    <w:name w:val="Revision"/>
    <w:hidden/>
    <w:uiPriority w:val="99"/>
    <w:semiHidden/>
    <w:rsid w:val="00A96CFD"/>
    <w:pPr>
      <w:spacing w:after="0" w:line="240" w:lineRule="auto"/>
    </w:pPr>
  </w:style>
  <w:style w:type="paragraph" w:styleId="Header">
    <w:name w:val="header"/>
    <w:basedOn w:val="Normal"/>
    <w:link w:val="HeaderChar"/>
    <w:uiPriority w:val="99"/>
    <w:unhideWhenUsed/>
    <w:rsid w:val="00B224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450"/>
  </w:style>
  <w:style w:type="paragraph" w:styleId="Footer">
    <w:name w:val="footer"/>
    <w:basedOn w:val="Normal"/>
    <w:link w:val="FooterChar"/>
    <w:uiPriority w:val="99"/>
    <w:unhideWhenUsed/>
    <w:rsid w:val="00B224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67501">
      <w:bodyDiv w:val="1"/>
      <w:marLeft w:val="0"/>
      <w:marRight w:val="0"/>
      <w:marTop w:val="0"/>
      <w:marBottom w:val="0"/>
      <w:divBdr>
        <w:top w:val="none" w:sz="0" w:space="0" w:color="auto"/>
        <w:left w:val="none" w:sz="0" w:space="0" w:color="auto"/>
        <w:bottom w:val="none" w:sz="0" w:space="0" w:color="auto"/>
        <w:right w:val="none" w:sz="0" w:space="0" w:color="auto"/>
      </w:divBdr>
    </w:div>
    <w:div w:id="353655088">
      <w:bodyDiv w:val="1"/>
      <w:marLeft w:val="0"/>
      <w:marRight w:val="0"/>
      <w:marTop w:val="0"/>
      <w:marBottom w:val="0"/>
      <w:divBdr>
        <w:top w:val="none" w:sz="0" w:space="0" w:color="auto"/>
        <w:left w:val="none" w:sz="0" w:space="0" w:color="auto"/>
        <w:bottom w:val="none" w:sz="0" w:space="0" w:color="auto"/>
        <w:right w:val="none" w:sz="0" w:space="0" w:color="auto"/>
      </w:divBdr>
    </w:div>
    <w:div w:id="362294920">
      <w:bodyDiv w:val="1"/>
      <w:marLeft w:val="0"/>
      <w:marRight w:val="0"/>
      <w:marTop w:val="0"/>
      <w:marBottom w:val="0"/>
      <w:divBdr>
        <w:top w:val="none" w:sz="0" w:space="0" w:color="auto"/>
        <w:left w:val="none" w:sz="0" w:space="0" w:color="auto"/>
        <w:bottom w:val="none" w:sz="0" w:space="0" w:color="auto"/>
        <w:right w:val="none" w:sz="0" w:space="0" w:color="auto"/>
      </w:divBdr>
    </w:div>
    <w:div w:id="1714697462">
      <w:bodyDiv w:val="1"/>
      <w:marLeft w:val="0"/>
      <w:marRight w:val="0"/>
      <w:marTop w:val="0"/>
      <w:marBottom w:val="0"/>
      <w:divBdr>
        <w:top w:val="none" w:sz="0" w:space="0" w:color="auto"/>
        <w:left w:val="none" w:sz="0" w:space="0" w:color="auto"/>
        <w:bottom w:val="none" w:sz="0" w:space="0" w:color="auto"/>
        <w:right w:val="none" w:sz="0" w:space="0" w:color="auto"/>
      </w:divBdr>
    </w:div>
    <w:div w:id="186038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3" Type="http://schemas.openxmlformats.org/officeDocument/2006/relationships/settings" Target="settings.xml"/><Relationship Id="rId21" Type="http://schemas.openxmlformats.org/officeDocument/2006/relationships/hyperlink" Target="https://www.codepublishing.com/cgi-bin/rcw.pl?cite=10.101.030" TargetMode="External"/><Relationship Id="rId7" Type="http://schemas.openxmlformats.org/officeDocument/2006/relationships/hyperlink" Target="https://www.codepublishing.com/WA/LewisCounty/" TargetMode="Externa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 Type="http://schemas.openxmlformats.org/officeDocument/2006/relationships/styles" Target="styles.xml"/><Relationship Id="rId16"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depublishing.com/WA/LewisCounty/" TargetMode="External"/><Relationship Id="rId5" Type="http://schemas.openxmlformats.org/officeDocument/2006/relationships/footnotes" Target="footnotes.xml"/><Relationship Id="rId15" Type="http://schemas.openxmlformats.org/officeDocument/2006/relationships/hyperlink" Target="https://www.codepublishing.com/WA/LewisCounty/" TargetMode="External"/><Relationship Id="rId23" Type="http://schemas.openxmlformats.org/officeDocument/2006/relationships/theme" Target="theme/theme1.xml"/><Relationship Id="rId10" Type="http://schemas.openxmlformats.org/officeDocument/2006/relationships/hyperlink" Target="https://www.codepublishing.com/WA/LewisCounty/" TargetMode="External"/><Relationship Id="rId19" Type="http://schemas.openxmlformats.org/officeDocument/2006/relationships/hyperlink" Target="https://www.codepublishing.com/WA/LewisCounty/" TargetMode="External"/><Relationship Id="rId4" Type="http://schemas.openxmlformats.org/officeDocument/2006/relationships/webSettings" Target="webSetting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2055</Words>
  <Characters>11716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3</cp:revision>
  <cp:lastPrinted>2025-05-01T16:46:00Z</cp:lastPrinted>
  <dcterms:created xsi:type="dcterms:W3CDTF">2025-05-01T16:47:00Z</dcterms:created>
  <dcterms:modified xsi:type="dcterms:W3CDTF">2025-05-08T23:56:00Z</dcterms:modified>
</cp:coreProperties>
</file>