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469B4D" w14:textId="52629DB5" w:rsidR="00C13870" w:rsidRDefault="00C13870" w:rsidP="00C13870">
      <w:pPr>
        <w:jc w:val="center"/>
        <w:rPr>
          <w:b/>
          <w:bCs/>
        </w:rPr>
      </w:pPr>
      <w:bookmarkStart w:id="0" w:name="2.40.050"/>
      <w:r>
        <w:rPr>
          <w:b/>
          <w:bCs/>
        </w:rPr>
        <w:t>Lewis County Code</w:t>
      </w:r>
    </w:p>
    <w:p w14:paraId="6A4C43CD" w14:textId="0AD211ED" w:rsidR="00C13870" w:rsidRDefault="00C13870" w:rsidP="00C13870">
      <w:pPr>
        <w:jc w:val="center"/>
        <w:rPr>
          <w:b/>
          <w:bCs/>
        </w:rPr>
      </w:pPr>
      <w:r w:rsidRPr="00C13870">
        <w:rPr>
          <w:b/>
          <w:bCs/>
        </w:rPr>
        <w:t>Chapter</w:t>
      </w:r>
      <w:r>
        <w:rPr>
          <w:b/>
          <w:bCs/>
        </w:rPr>
        <w:t xml:space="preserve"> </w:t>
      </w:r>
      <w:r w:rsidRPr="00C13870">
        <w:rPr>
          <w:b/>
          <w:bCs/>
        </w:rPr>
        <w:t>2.40</w:t>
      </w:r>
    </w:p>
    <w:p w14:paraId="145FB331" w14:textId="65077625" w:rsidR="00C13870" w:rsidRPr="00C13870" w:rsidRDefault="00C13870" w:rsidP="00C13870">
      <w:pPr>
        <w:jc w:val="center"/>
        <w:rPr>
          <w:b/>
          <w:bCs/>
        </w:rPr>
      </w:pPr>
      <w:r w:rsidRPr="00C13870">
        <w:rPr>
          <w:b/>
          <w:bCs/>
        </w:rPr>
        <w:t>STANDARDS FOR PUBLIC DEFENSE SERVICES</w:t>
      </w:r>
    </w:p>
    <w:p w14:paraId="42773584" w14:textId="32F2CA46" w:rsidR="00C13870" w:rsidRPr="00C13870" w:rsidRDefault="00C13870" w:rsidP="00C13870">
      <w:pPr>
        <w:jc w:val="both"/>
        <w:rPr>
          <w:b/>
          <w:bCs/>
        </w:rPr>
      </w:pPr>
      <w:r w:rsidRPr="00C13870">
        <w:rPr>
          <w:b/>
          <w:bCs/>
        </w:rPr>
        <w:t>2.40.050</w:t>
      </w:r>
      <w:bookmarkEnd w:id="0"/>
      <w:r w:rsidRPr="00C13870">
        <w:rPr>
          <w:b/>
          <w:bCs/>
        </w:rPr>
        <w:t> Standard 3 - Caseload limits and types of cases.</w:t>
      </w:r>
    </w:p>
    <w:p w14:paraId="724CF2D3" w14:textId="77777777" w:rsidR="00C13870" w:rsidRPr="00C13870" w:rsidRDefault="00C13870" w:rsidP="00C13870">
      <w:pPr>
        <w:jc w:val="both"/>
      </w:pPr>
      <w:r w:rsidRPr="00C13870">
        <w:t>The contract shall specify the types of cases for which representation shall be provided and the maximum number of cases which each attorney shall be expected to handle. The caseload of public defense attorneys should allow each lawyer to give each client the time and effort necessary to ensure effective representation. Contract attorneys shall not accept workloads that, by reason of their excessive size, interfere with the rendering of quality representation.</w:t>
      </w:r>
    </w:p>
    <w:p w14:paraId="0D0C7BBF" w14:textId="77777777" w:rsidR="00C13870" w:rsidRPr="00C13870" w:rsidRDefault="00C13870" w:rsidP="00C13870">
      <w:pPr>
        <w:jc w:val="both"/>
      </w:pPr>
      <w:r w:rsidRPr="00C13870">
        <w:t>The caseload of a contract public defender should not exceed the following:</w:t>
      </w:r>
    </w:p>
    <w:p w14:paraId="32F401DD" w14:textId="77777777" w:rsidR="00C13870" w:rsidRPr="00C13870" w:rsidRDefault="00C13870" w:rsidP="00C13870">
      <w:pPr>
        <w:jc w:val="both"/>
      </w:pPr>
      <w:r w:rsidRPr="00C13870">
        <w:t>(1) One hundred fifty felonies per attorney per year; or</w:t>
      </w:r>
    </w:p>
    <w:p w14:paraId="55F84CF5" w14:textId="4BCA7044" w:rsidR="00C13870" w:rsidRPr="00C13870" w:rsidRDefault="00C13870" w:rsidP="00C13870">
      <w:pPr>
        <w:jc w:val="both"/>
      </w:pPr>
      <w:r w:rsidRPr="00C13870">
        <w:t>(2) </w:t>
      </w:r>
      <w:r w:rsidRPr="00C13870">
        <w:rPr>
          <w:strike/>
          <w:color w:val="FF0000"/>
        </w:rPr>
        <w:t>Four</w:t>
      </w:r>
      <w:r>
        <w:rPr>
          <w:color w:val="70AD47" w:themeColor="accent6"/>
        </w:rPr>
        <w:t xml:space="preserve"> Three</w:t>
      </w:r>
      <w:r w:rsidRPr="00C13870">
        <w:t xml:space="preserve"> hundred </w:t>
      </w:r>
      <w:r>
        <w:rPr>
          <w:color w:val="70AD47" w:themeColor="accent6"/>
        </w:rPr>
        <w:t xml:space="preserve">gross misdemeanors and/or </w:t>
      </w:r>
      <w:r w:rsidRPr="00C13870">
        <w:t>misdemeanors per attorney per year; or</w:t>
      </w:r>
    </w:p>
    <w:p w14:paraId="31AD2C65" w14:textId="77777777" w:rsidR="00C13870" w:rsidRPr="00C13870" w:rsidRDefault="00C13870" w:rsidP="00C13870">
      <w:pPr>
        <w:jc w:val="both"/>
      </w:pPr>
      <w:r w:rsidRPr="00C13870">
        <w:t>(3) Two hundred fifty juvenile offender cases per attorney per year; or</w:t>
      </w:r>
    </w:p>
    <w:p w14:paraId="5B8CECEA" w14:textId="77777777" w:rsidR="00C13870" w:rsidRPr="00C13870" w:rsidRDefault="00C13870" w:rsidP="00C13870">
      <w:pPr>
        <w:jc w:val="both"/>
      </w:pPr>
      <w:r w:rsidRPr="00C13870">
        <w:t>(4) Eighty open juvenile dependency clients per attorney per year; or</w:t>
      </w:r>
    </w:p>
    <w:p w14:paraId="4869BF20" w14:textId="77777777" w:rsidR="00C13870" w:rsidRPr="00C13870" w:rsidRDefault="00C13870" w:rsidP="00C13870">
      <w:pPr>
        <w:jc w:val="both"/>
      </w:pPr>
      <w:r w:rsidRPr="00C13870">
        <w:t>(5) Two hundred fifty civil commitment cases per attorney per year; or</w:t>
      </w:r>
    </w:p>
    <w:p w14:paraId="1BD5FA9B" w14:textId="77777777" w:rsidR="00C13870" w:rsidRPr="00C13870" w:rsidRDefault="00C13870" w:rsidP="00C13870">
      <w:pPr>
        <w:jc w:val="both"/>
      </w:pPr>
      <w:r w:rsidRPr="00C13870">
        <w:t>(6) Thirty-six appeals to appellate court hearing a case on the record and briefs per attorney per year.</w:t>
      </w:r>
    </w:p>
    <w:p w14:paraId="7AFBC6D3" w14:textId="77777777" w:rsidR="00C13870" w:rsidRDefault="00C13870" w:rsidP="00C13870">
      <w:pPr>
        <w:jc w:val="both"/>
      </w:pPr>
      <w:r w:rsidRPr="00C13870">
        <w:t>A “case” is defined as a filing of a document with the court naming a person as defendant or respondent.</w:t>
      </w:r>
    </w:p>
    <w:p w14:paraId="3A4FD0C2" w14:textId="22B70D59" w:rsidR="00C13870" w:rsidRDefault="00C13870" w:rsidP="00C13870">
      <w:pPr>
        <w:jc w:val="both"/>
        <w:rPr>
          <w:color w:val="70AD47" w:themeColor="accent6"/>
        </w:rPr>
      </w:pPr>
      <w:r>
        <w:rPr>
          <w:color w:val="70AD47" w:themeColor="accent6"/>
        </w:rPr>
        <w:t>Lewis County has adopted a case weighting for gross misdemeanor and misdemeanor cases to be structured as follows:</w:t>
      </w:r>
    </w:p>
    <w:tbl>
      <w:tblPr>
        <w:tblStyle w:val="GridTable1Light-Accent6"/>
        <w:tblW w:w="0" w:type="auto"/>
        <w:tblLook w:val="04A0" w:firstRow="1" w:lastRow="0" w:firstColumn="1" w:lastColumn="0" w:noHBand="0" w:noVBand="1"/>
      </w:tblPr>
      <w:tblGrid>
        <w:gridCol w:w="4675"/>
        <w:gridCol w:w="4675"/>
      </w:tblGrid>
      <w:tr w:rsidR="00C13870" w14:paraId="09F7D70A" w14:textId="77777777" w:rsidTr="00C1387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63C3F3DA" w14:textId="0FBBDF19" w:rsidR="00C13870" w:rsidRDefault="00C13870" w:rsidP="00C13870">
            <w:pPr>
              <w:jc w:val="center"/>
              <w:rPr>
                <w:color w:val="70AD47" w:themeColor="accent6"/>
              </w:rPr>
            </w:pPr>
            <w:r>
              <w:rPr>
                <w:color w:val="70AD47" w:themeColor="accent6"/>
              </w:rPr>
              <w:t>Type of Case</w:t>
            </w:r>
          </w:p>
        </w:tc>
        <w:tc>
          <w:tcPr>
            <w:tcW w:w="4675" w:type="dxa"/>
          </w:tcPr>
          <w:p w14:paraId="6F6ED53F" w14:textId="21A512EA" w:rsidR="00C13870" w:rsidRDefault="00C13870" w:rsidP="00C13870">
            <w:pPr>
              <w:jc w:val="center"/>
              <w:cnfStyle w:val="100000000000" w:firstRow="1" w:lastRow="0" w:firstColumn="0" w:lastColumn="0" w:oddVBand="0" w:evenVBand="0" w:oddHBand="0" w:evenHBand="0" w:firstRowFirstColumn="0" w:firstRowLastColumn="0" w:lastRowFirstColumn="0" w:lastRowLastColumn="0"/>
              <w:rPr>
                <w:color w:val="70AD47" w:themeColor="accent6"/>
              </w:rPr>
            </w:pPr>
            <w:r>
              <w:rPr>
                <w:color w:val="70AD47" w:themeColor="accent6"/>
              </w:rPr>
              <w:t>Number of Case Units</w:t>
            </w:r>
          </w:p>
        </w:tc>
      </w:tr>
      <w:tr w:rsidR="00C13870" w14:paraId="290E6553" w14:textId="77777777" w:rsidTr="00C13870">
        <w:tc>
          <w:tcPr>
            <w:cnfStyle w:val="001000000000" w:firstRow="0" w:lastRow="0" w:firstColumn="1" w:lastColumn="0" w:oddVBand="0" w:evenVBand="0" w:oddHBand="0" w:evenHBand="0" w:firstRowFirstColumn="0" w:firstRowLastColumn="0" w:lastRowFirstColumn="0" w:lastRowLastColumn="0"/>
            <w:tcW w:w="4675" w:type="dxa"/>
          </w:tcPr>
          <w:p w14:paraId="04014592" w14:textId="486E5B1A" w:rsidR="00C13870" w:rsidRPr="00C13870" w:rsidRDefault="00C13870" w:rsidP="00C13870">
            <w:pPr>
              <w:jc w:val="center"/>
              <w:rPr>
                <w:b w:val="0"/>
                <w:bCs w:val="0"/>
                <w:color w:val="70AD47" w:themeColor="accent6"/>
              </w:rPr>
            </w:pPr>
            <w:r w:rsidRPr="00C13870">
              <w:rPr>
                <w:b w:val="0"/>
                <w:bCs w:val="0"/>
                <w:color w:val="70AD47" w:themeColor="accent6"/>
              </w:rPr>
              <w:t>Driving Under the Influence</w:t>
            </w:r>
          </w:p>
        </w:tc>
        <w:tc>
          <w:tcPr>
            <w:tcW w:w="4675" w:type="dxa"/>
          </w:tcPr>
          <w:p w14:paraId="3FD6A896" w14:textId="7A6166CB" w:rsidR="00C13870" w:rsidRDefault="00C13870" w:rsidP="00C13870">
            <w:pPr>
              <w:jc w:val="center"/>
              <w:cnfStyle w:val="000000000000" w:firstRow="0" w:lastRow="0" w:firstColumn="0" w:lastColumn="0" w:oddVBand="0" w:evenVBand="0" w:oddHBand="0" w:evenHBand="0" w:firstRowFirstColumn="0" w:firstRowLastColumn="0" w:lastRowFirstColumn="0" w:lastRowLastColumn="0"/>
              <w:rPr>
                <w:color w:val="70AD47" w:themeColor="accent6"/>
              </w:rPr>
            </w:pPr>
            <w:r>
              <w:rPr>
                <w:color w:val="70AD47" w:themeColor="accent6"/>
              </w:rPr>
              <w:t>Two</w:t>
            </w:r>
          </w:p>
        </w:tc>
      </w:tr>
      <w:tr w:rsidR="00C13870" w14:paraId="7D6C0997" w14:textId="77777777" w:rsidTr="00C13870">
        <w:tc>
          <w:tcPr>
            <w:cnfStyle w:val="001000000000" w:firstRow="0" w:lastRow="0" w:firstColumn="1" w:lastColumn="0" w:oddVBand="0" w:evenVBand="0" w:oddHBand="0" w:evenHBand="0" w:firstRowFirstColumn="0" w:firstRowLastColumn="0" w:lastRowFirstColumn="0" w:lastRowLastColumn="0"/>
            <w:tcW w:w="4675" w:type="dxa"/>
          </w:tcPr>
          <w:p w14:paraId="2851EB09" w14:textId="73AF13F5" w:rsidR="00C13870" w:rsidRPr="00C13870" w:rsidRDefault="00C13870" w:rsidP="00C13870">
            <w:pPr>
              <w:jc w:val="center"/>
              <w:rPr>
                <w:b w:val="0"/>
                <w:bCs w:val="0"/>
                <w:color w:val="70AD47" w:themeColor="accent6"/>
              </w:rPr>
            </w:pPr>
            <w:r w:rsidRPr="00C13870">
              <w:rPr>
                <w:b w:val="0"/>
                <w:bCs w:val="0"/>
                <w:color w:val="70AD47" w:themeColor="accent6"/>
              </w:rPr>
              <w:t>Cases field as Domestic Violence</w:t>
            </w:r>
          </w:p>
        </w:tc>
        <w:tc>
          <w:tcPr>
            <w:tcW w:w="4675" w:type="dxa"/>
          </w:tcPr>
          <w:p w14:paraId="69B26F7D" w14:textId="696508D4" w:rsidR="00C13870" w:rsidRDefault="00C13870" w:rsidP="00C13870">
            <w:pPr>
              <w:jc w:val="center"/>
              <w:cnfStyle w:val="000000000000" w:firstRow="0" w:lastRow="0" w:firstColumn="0" w:lastColumn="0" w:oddVBand="0" w:evenVBand="0" w:oddHBand="0" w:evenHBand="0" w:firstRowFirstColumn="0" w:firstRowLastColumn="0" w:lastRowFirstColumn="0" w:lastRowLastColumn="0"/>
              <w:rPr>
                <w:color w:val="70AD47" w:themeColor="accent6"/>
              </w:rPr>
            </w:pPr>
            <w:r>
              <w:rPr>
                <w:color w:val="70AD47" w:themeColor="accent6"/>
              </w:rPr>
              <w:t>Two</w:t>
            </w:r>
          </w:p>
        </w:tc>
      </w:tr>
      <w:tr w:rsidR="00C13870" w14:paraId="3F250EF4" w14:textId="77777777" w:rsidTr="00C13870">
        <w:tc>
          <w:tcPr>
            <w:cnfStyle w:val="001000000000" w:firstRow="0" w:lastRow="0" w:firstColumn="1" w:lastColumn="0" w:oddVBand="0" w:evenVBand="0" w:oddHBand="0" w:evenHBand="0" w:firstRowFirstColumn="0" w:firstRowLastColumn="0" w:lastRowFirstColumn="0" w:lastRowLastColumn="0"/>
            <w:tcW w:w="4675" w:type="dxa"/>
          </w:tcPr>
          <w:p w14:paraId="34B8D75F" w14:textId="2D32CADB" w:rsidR="00C13870" w:rsidRPr="00C13870" w:rsidRDefault="00C13870" w:rsidP="00C13870">
            <w:pPr>
              <w:jc w:val="center"/>
              <w:rPr>
                <w:b w:val="0"/>
                <w:bCs w:val="0"/>
                <w:color w:val="70AD47" w:themeColor="accent6"/>
              </w:rPr>
            </w:pPr>
            <w:r w:rsidRPr="00C13870">
              <w:rPr>
                <w:b w:val="0"/>
                <w:bCs w:val="0"/>
                <w:color w:val="70AD47" w:themeColor="accent6"/>
              </w:rPr>
              <w:t>All Other Types of Cases Not Listed</w:t>
            </w:r>
          </w:p>
        </w:tc>
        <w:tc>
          <w:tcPr>
            <w:tcW w:w="4675" w:type="dxa"/>
          </w:tcPr>
          <w:p w14:paraId="322B388C" w14:textId="0522ECDF" w:rsidR="00C13870" w:rsidRDefault="00C13870" w:rsidP="00C13870">
            <w:pPr>
              <w:jc w:val="center"/>
              <w:cnfStyle w:val="000000000000" w:firstRow="0" w:lastRow="0" w:firstColumn="0" w:lastColumn="0" w:oddVBand="0" w:evenVBand="0" w:oddHBand="0" w:evenHBand="0" w:firstRowFirstColumn="0" w:firstRowLastColumn="0" w:lastRowFirstColumn="0" w:lastRowLastColumn="0"/>
              <w:rPr>
                <w:color w:val="70AD47" w:themeColor="accent6"/>
              </w:rPr>
            </w:pPr>
            <w:r>
              <w:rPr>
                <w:color w:val="70AD47" w:themeColor="accent6"/>
              </w:rPr>
              <w:t>One</w:t>
            </w:r>
          </w:p>
        </w:tc>
      </w:tr>
      <w:tr w:rsidR="00C13870" w14:paraId="3B039299" w14:textId="77777777" w:rsidTr="00C13870">
        <w:tc>
          <w:tcPr>
            <w:cnfStyle w:val="001000000000" w:firstRow="0" w:lastRow="0" w:firstColumn="1" w:lastColumn="0" w:oddVBand="0" w:evenVBand="0" w:oddHBand="0" w:evenHBand="0" w:firstRowFirstColumn="0" w:firstRowLastColumn="0" w:lastRowFirstColumn="0" w:lastRowLastColumn="0"/>
            <w:tcW w:w="4675" w:type="dxa"/>
          </w:tcPr>
          <w:p w14:paraId="0BBB740C" w14:textId="372DAF6F" w:rsidR="00C13870" w:rsidRPr="00C13870" w:rsidRDefault="00C13870" w:rsidP="00C13870">
            <w:pPr>
              <w:jc w:val="center"/>
              <w:rPr>
                <w:b w:val="0"/>
                <w:bCs w:val="0"/>
                <w:color w:val="70AD47" w:themeColor="accent6"/>
              </w:rPr>
            </w:pPr>
            <w:r w:rsidRPr="00C13870">
              <w:rPr>
                <w:b w:val="0"/>
                <w:bCs w:val="0"/>
                <w:color w:val="70AD47" w:themeColor="accent6"/>
              </w:rPr>
              <w:t>Driving With License Suspended or No Valid Operator’s License without Identification</w:t>
            </w:r>
          </w:p>
        </w:tc>
        <w:tc>
          <w:tcPr>
            <w:tcW w:w="4675" w:type="dxa"/>
          </w:tcPr>
          <w:p w14:paraId="315F95D3" w14:textId="342EAB55" w:rsidR="00C13870" w:rsidRDefault="00C13870" w:rsidP="00C13870">
            <w:pPr>
              <w:jc w:val="center"/>
              <w:cnfStyle w:val="000000000000" w:firstRow="0" w:lastRow="0" w:firstColumn="0" w:lastColumn="0" w:oddVBand="0" w:evenVBand="0" w:oddHBand="0" w:evenHBand="0" w:firstRowFirstColumn="0" w:firstRowLastColumn="0" w:lastRowFirstColumn="0" w:lastRowLastColumn="0"/>
              <w:rPr>
                <w:color w:val="70AD47" w:themeColor="accent6"/>
              </w:rPr>
            </w:pPr>
            <w:r>
              <w:rPr>
                <w:color w:val="70AD47" w:themeColor="accent6"/>
              </w:rPr>
              <w:t>One-half</w:t>
            </w:r>
          </w:p>
        </w:tc>
      </w:tr>
      <w:tr w:rsidR="00C13870" w14:paraId="0896D869" w14:textId="77777777" w:rsidTr="00C13870">
        <w:tc>
          <w:tcPr>
            <w:cnfStyle w:val="001000000000" w:firstRow="0" w:lastRow="0" w:firstColumn="1" w:lastColumn="0" w:oddVBand="0" w:evenVBand="0" w:oddHBand="0" w:evenHBand="0" w:firstRowFirstColumn="0" w:firstRowLastColumn="0" w:lastRowFirstColumn="0" w:lastRowLastColumn="0"/>
            <w:tcW w:w="4675" w:type="dxa"/>
          </w:tcPr>
          <w:p w14:paraId="131BD459" w14:textId="706837AD" w:rsidR="00C13870" w:rsidRPr="00C13870" w:rsidRDefault="00C13870" w:rsidP="00C13870">
            <w:pPr>
              <w:jc w:val="center"/>
              <w:rPr>
                <w:b w:val="0"/>
                <w:bCs w:val="0"/>
                <w:color w:val="70AD47" w:themeColor="accent6"/>
              </w:rPr>
            </w:pPr>
            <w:r w:rsidRPr="00C13870">
              <w:rPr>
                <w:b w:val="0"/>
                <w:bCs w:val="0"/>
                <w:color w:val="70AD47" w:themeColor="accent6"/>
              </w:rPr>
              <w:t>Newly Appointed Post-Conviction Show Cause</w:t>
            </w:r>
          </w:p>
        </w:tc>
        <w:tc>
          <w:tcPr>
            <w:tcW w:w="4675" w:type="dxa"/>
          </w:tcPr>
          <w:p w14:paraId="2DAE08DD" w14:textId="644FE328" w:rsidR="00C13870" w:rsidRDefault="00C13870" w:rsidP="00C13870">
            <w:pPr>
              <w:jc w:val="center"/>
              <w:cnfStyle w:val="000000000000" w:firstRow="0" w:lastRow="0" w:firstColumn="0" w:lastColumn="0" w:oddVBand="0" w:evenVBand="0" w:oddHBand="0" w:evenHBand="0" w:firstRowFirstColumn="0" w:firstRowLastColumn="0" w:lastRowFirstColumn="0" w:lastRowLastColumn="0"/>
              <w:rPr>
                <w:color w:val="70AD47" w:themeColor="accent6"/>
              </w:rPr>
            </w:pPr>
            <w:r>
              <w:rPr>
                <w:color w:val="70AD47" w:themeColor="accent6"/>
              </w:rPr>
              <w:t>One-third</w:t>
            </w:r>
          </w:p>
        </w:tc>
      </w:tr>
    </w:tbl>
    <w:p w14:paraId="6C3D7A5E" w14:textId="77777777" w:rsidR="00C13870" w:rsidRPr="00C13870" w:rsidRDefault="00C13870" w:rsidP="00C13870">
      <w:pPr>
        <w:jc w:val="both"/>
        <w:rPr>
          <w:color w:val="70AD47" w:themeColor="accent6"/>
        </w:rPr>
      </w:pPr>
    </w:p>
    <w:p w14:paraId="28078789" w14:textId="52920BF6" w:rsidR="00C13870" w:rsidRPr="00C13870" w:rsidRDefault="00C13870" w:rsidP="00C13870">
      <w:pPr>
        <w:jc w:val="both"/>
      </w:pPr>
      <w:r w:rsidRPr="00C13870">
        <w:t xml:space="preserve">Caseload limits </w:t>
      </w:r>
      <w:proofErr w:type="spellStart"/>
      <w:r w:rsidR="00942A5B" w:rsidRPr="00942A5B">
        <w:rPr>
          <w:color w:val="70AD47" w:themeColor="accent6"/>
        </w:rPr>
        <w:t>are</w:t>
      </w:r>
      <w:r w:rsidRPr="00C13870">
        <w:rPr>
          <w:strike/>
          <w:color w:val="FF0000"/>
        </w:rPr>
        <w:t>should</w:t>
      </w:r>
      <w:proofErr w:type="spellEnd"/>
      <w:r w:rsidRPr="008B7DD2">
        <w:rPr>
          <w:strike/>
          <w:color w:val="FF0000"/>
        </w:rPr>
        <w:t xml:space="preserve"> be</w:t>
      </w:r>
      <w:r w:rsidRPr="00C13870">
        <w:t xml:space="preserve"> determined by the number and type of cases being accepted and on the prosecutor’s charging and plea-bargaining practices. Since contract public defenders may also maintain private law practices, the BOCC, through the </w:t>
      </w:r>
      <w:proofErr w:type="spellStart"/>
      <w:r w:rsidRPr="00942A5B">
        <w:rPr>
          <w:color w:val="70AD47" w:themeColor="accent6"/>
        </w:rPr>
        <w:t>D</w:t>
      </w:r>
      <w:r w:rsidRPr="00C13870">
        <w:rPr>
          <w:strike/>
          <w:color w:val="FF0000"/>
        </w:rPr>
        <w:t>d</w:t>
      </w:r>
      <w:r w:rsidRPr="00C13870">
        <w:t>epartment</w:t>
      </w:r>
      <w:proofErr w:type="spellEnd"/>
      <w:r w:rsidRPr="00C13870">
        <w:t xml:space="preserve"> of </w:t>
      </w:r>
      <w:proofErr w:type="spellStart"/>
      <w:r w:rsidRPr="00942A5B">
        <w:rPr>
          <w:color w:val="70AD47" w:themeColor="accent6"/>
        </w:rPr>
        <w:t>H</w:t>
      </w:r>
      <w:r w:rsidRPr="00C13870">
        <w:rPr>
          <w:strike/>
          <w:color w:val="FF0000"/>
        </w:rPr>
        <w:t>h</w:t>
      </w:r>
      <w:r w:rsidRPr="00C13870">
        <w:t>uman</w:t>
      </w:r>
      <w:proofErr w:type="spellEnd"/>
      <w:r w:rsidRPr="00C13870">
        <w:t xml:space="preserve"> </w:t>
      </w:r>
      <w:proofErr w:type="spellStart"/>
      <w:r w:rsidRPr="00942A5B">
        <w:rPr>
          <w:color w:val="70AD47" w:themeColor="accent6"/>
        </w:rPr>
        <w:t>R</w:t>
      </w:r>
      <w:r w:rsidRPr="00C13870">
        <w:rPr>
          <w:strike/>
          <w:color w:val="FF0000"/>
        </w:rPr>
        <w:t>r</w:t>
      </w:r>
      <w:r w:rsidRPr="00C13870">
        <w:t>esources</w:t>
      </w:r>
      <w:proofErr w:type="spellEnd"/>
      <w:r w:rsidRPr="00C13870">
        <w:t xml:space="preserve"> and </w:t>
      </w:r>
      <w:proofErr w:type="spellStart"/>
      <w:r w:rsidRPr="00942A5B">
        <w:rPr>
          <w:color w:val="70AD47" w:themeColor="accent6"/>
        </w:rPr>
        <w:t>R</w:t>
      </w:r>
      <w:r w:rsidRPr="00C13870">
        <w:rPr>
          <w:strike/>
          <w:color w:val="FF0000"/>
        </w:rPr>
        <w:t>r</w:t>
      </w:r>
      <w:r w:rsidRPr="00C13870">
        <w:t>isk</w:t>
      </w:r>
      <w:proofErr w:type="spellEnd"/>
      <w:r>
        <w:t xml:space="preserve"> </w:t>
      </w:r>
      <w:r w:rsidRPr="00942A5B">
        <w:rPr>
          <w:color w:val="70AD47" w:themeColor="accent6"/>
        </w:rPr>
        <w:t>Management</w:t>
      </w:r>
      <w:r w:rsidRPr="00C13870">
        <w:rPr>
          <w:strike/>
          <w:color w:val="FF0000"/>
        </w:rPr>
        <w:t>, and superior court</w:t>
      </w:r>
      <w:r w:rsidRPr="00C13870">
        <w:rPr>
          <w:color w:val="FF0000"/>
        </w:rPr>
        <w:t xml:space="preserve"> </w:t>
      </w:r>
      <w:r w:rsidRPr="00C13870">
        <w:t>shall ensure that attorneys not be assigned more cases than they can reasonably discharge. In these situations, the caseload ceiling should be based on the percentage of time the lawyer devotes to public defense.</w:t>
      </w:r>
    </w:p>
    <w:p w14:paraId="39C434CB" w14:textId="77777777" w:rsidR="00F411FB" w:rsidRDefault="00F411FB" w:rsidP="00C13870">
      <w:pPr>
        <w:jc w:val="both"/>
      </w:pPr>
    </w:p>
    <w:sectPr w:rsidR="00F411F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7CA354" w14:textId="77777777" w:rsidR="00B20108" w:rsidRDefault="00B20108" w:rsidP="00942A5B">
      <w:pPr>
        <w:spacing w:after="0" w:line="240" w:lineRule="auto"/>
      </w:pPr>
      <w:r>
        <w:separator/>
      </w:r>
    </w:p>
  </w:endnote>
  <w:endnote w:type="continuationSeparator" w:id="0">
    <w:p w14:paraId="11C7324D" w14:textId="77777777" w:rsidR="00B20108" w:rsidRDefault="00B20108" w:rsidP="00942A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46C09" w14:textId="77777777" w:rsidR="00942A5B" w:rsidRDefault="00942A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3C80D" w14:textId="77777777" w:rsidR="00942A5B" w:rsidRDefault="00942A5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2EFB4" w14:textId="77777777" w:rsidR="00942A5B" w:rsidRDefault="00942A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FAAE70" w14:textId="77777777" w:rsidR="00B20108" w:rsidRDefault="00B20108" w:rsidP="00942A5B">
      <w:pPr>
        <w:spacing w:after="0" w:line="240" w:lineRule="auto"/>
      </w:pPr>
      <w:r>
        <w:separator/>
      </w:r>
    </w:p>
  </w:footnote>
  <w:footnote w:type="continuationSeparator" w:id="0">
    <w:p w14:paraId="7BFD32E4" w14:textId="77777777" w:rsidR="00B20108" w:rsidRDefault="00B20108" w:rsidP="00942A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5605D" w14:textId="77777777" w:rsidR="00942A5B" w:rsidRDefault="00942A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674340"/>
      <w:docPartObj>
        <w:docPartGallery w:val="Watermarks"/>
        <w:docPartUnique/>
      </w:docPartObj>
    </w:sdtPr>
    <w:sdtEndPr/>
    <w:sdtContent>
      <w:p w14:paraId="3A84839F" w14:textId="47E2F184" w:rsidR="00942A5B" w:rsidRDefault="00E72F8D">
        <w:pPr>
          <w:pStyle w:val="Header"/>
        </w:pPr>
        <w:r>
          <w:rPr>
            <w:noProof/>
          </w:rPr>
          <w:pict w14:anchorId="23829FD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8D489" w14:textId="77777777" w:rsidR="00942A5B" w:rsidRDefault="00942A5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3870"/>
    <w:rsid w:val="00567EEB"/>
    <w:rsid w:val="008B7DD2"/>
    <w:rsid w:val="00942A5B"/>
    <w:rsid w:val="00A72997"/>
    <w:rsid w:val="00B20108"/>
    <w:rsid w:val="00C13870"/>
    <w:rsid w:val="00C51CF0"/>
    <w:rsid w:val="00E72F8D"/>
    <w:rsid w:val="00F411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F50EE8"/>
  <w15:chartTrackingRefBased/>
  <w15:docId w15:val="{75BB58C5-5712-4163-B364-9DE6EA048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138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6">
    <w:name w:val="Grid Table 1 Light Accent 6"/>
    <w:basedOn w:val="TableNormal"/>
    <w:uiPriority w:val="46"/>
    <w:rsid w:val="00C13870"/>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paragraph" w:styleId="Header">
    <w:name w:val="header"/>
    <w:basedOn w:val="Normal"/>
    <w:link w:val="HeaderChar"/>
    <w:uiPriority w:val="99"/>
    <w:unhideWhenUsed/>
    <w:rsid w:val="00942A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2A5B"/>
  </w:style>
  <w:style w:type="paragraph" w:styleId="Footer">
    <w:name w:val="footer"/>
    <w:basedOn w:val="Normal"/>
    <w:link w:val="FooterChar"/>
    <w:uiPriority w:val="99"/>
    <w:unhideWhenUsed/>
    <w:rsid w:val="00942A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2A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315397">
      <w:bodyDiv w:val="1"/>
      <w:marLeft w:val="0"/>
      <w:marRight w:val="0"/>
      <w:marTop w:val="0"/>
      <w:marBottom w:val="0"/>
      <w:divBdr>
        <w:top w:val="none" w:sz="0" w:space="0" w:color="auto"/>
        <w:left w:val="none" w:sz="0" w:space="0" w:color="auto"/>
        <w:bottom w:val="none" w:sz="0" w:space="0" w:color="auto"/>
        <w:right w:val="none" w:sz="0" w:space="0" w:color="auto"/>
      </w:divBdr>
    </w:div>
    <w:div w:id="247352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325</Words>
  <Characters>1857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2178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Smith</dc:creator>
  <cp:keywords/>
  <dc:description/>
  <cp:lastModifiedBy>Amber Smith</cp:lastModifiedBy>
  <cp:revision>2</cp:revision>
  <dcterms:created xsi:type="dcterms:W3CDTF">2023-12-07T21:45:00Z</dcterms:created>
  <dcterms:modified xsi:type="dcterms:W3CDTF">2023-12-07T21:45:00Z</dcterms:modified>
</cp:coreProperties>
</file>